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152F" w14:textId="0B0C0016" w:rsidR="00DD127F" w:rsidRPr="00DB61C2" w:rsidRDefault="00D97D20" w:rsidP="007F3CDC">
      <w:pPr>
        <w:tabs>
          <w:tab w:val="right" w:pos="8506"/>
        </w:tabs>
        <w:spacing w:after="0" w:line="240" w:lineRule="auto"/>
        <w:rPr>
          <w:rFonts w:eastAsia="Times New Roman" w:cstheme="minorHAnsi"/>
          <w:b/>
          <w:bCs/>
          <w:sz w:val="32"/>
          <w:szCs w:val="32"/>
        </w:rPr>
      </w:pPr>
      <w:r w:rsidRPr="00DB61C2">
        <w:rPr>
          <w:b/>
          <w:noProof/>
          <w:sz w:val="36"/>
        </w:rPr>
        <mc:AlternateContent>
          <mc:Choice Requires="wps">
            <w:drawing>
              <wp:anchor distT="45720" distB="45720" distL="114300" distR="114300" simplePos="0" relativeHeight="251659264" behindDoc="1" locked="0" layoutInCell="1" allowOverlap="1" wp14:anchorId="1C39F7C3" wp14:editId="4A189C38">
                <wp:simplePos x="0" y="0"/>
                <wp:positionH relativeFrom="margin">
                  <wp:posOffset>1767205</wp:posOffset>
                </wp:positionH>
                <wp:positionV relativeFrom="paragraph">
                  <wp:posOffset>-969645</wp:posOffset>
                </wp:positionV>
                <wp:extent cx="4476750" cy="26035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603500"/>
                        </a:xfrm>
                        <a:prstGeom prst="rect">
                          <a:avLst/>
                        </a:prstGeom>
                        <a:solidFill>
                          <a:srgbClr val="FFFFFF"/>
                        </a:solidFill>
                        <a:ln w="9525">
                          <a:noFill/>
                          <a:miter lim="800000"/>
                          <a:headEnd/>
                          <a:tailEnd/>
                        </a:ln>
                      </wps:spPr>
                      <wps:txbx>
                        <w:txbxContent>
                          <w:p w14:paraId="470720C7" w14:textId="77777777" w:rsidR="00841D1E" w:rsidRPr="006823E9" w:rsidRDefault="00841D1E" w:rsidP="00841D1E">
                            <w:pPr>
                              <w:spacing w:after="120" w:line="240" w:lineRule="auto"/>
                              <w:rPr>
                                <w:rFonts w:eastAsia="Times New Roman" w:cstheme="minorHAnsi"/>
                                <w:b/>
                                <w:bCs/>
                                <w:color w:val="008F8F"/>
                                <w:sz w:val="40"/>
                                <w:szCs w:val="40"/>
                              </w:rPr>
                            </w:pPr>
                            <w:r w:rsidRPr="006823E9">
                              <w:rPr>
                                <w:b/>
                                <w:color w:val="008F8F"/>
                                <w:sz w:val="40"/>
                              </w:rPr>
                              <w:t xml:space="preserve">2023-2024 half-yearly results </w:t>
                            </w:r>
                          </w:p>
                          <w:p w14:paraId="77814589" w14:textId="77777777" w:rsidR="00841D1E" w:rsidRPr="006823E9" w:rsidRDefault="00841D1E" w:rsidP="00841D1E">
                            <w:pPr>
                              <w:pStyle w:val="Paragraphedeliste"/>
                              <w:numPr>
                                <w:ilvl w:val="0"/>
                                <w:numId w:val="4"/>
                              </w:numPr>
                              <w:spacing w:after="0" w:line="240" w:lineRule="auto"/>
                              <w:rPr>
                                <w:rFonts w:eastAsia="Times New Roman" w:cstheme="minorHAnsi"/>
                                <w:b/>
                                <w:bCs/>
                                <w:color w:val="008F8F"/>
                                <w:sz w:val="36"/>
                                <w:szCs w:val="36"/>
                              </w:rPr>
                            </w:pPr>
                            <w:r w:rsidRPr="006823E9">
                              <w:rPr>
                                <w:b/>
                                <w:color w:val="008F8F"/>
                                <w:sz w:val="36"/>
                              </w:rPr>
                              <w:t>Organic growth up 5.7%</w:t>
                            </w:r>
                          </w:p>
                          <w:p w14:paraId="35559168" w14:textId="78436145" w:rsidR="00841D1E" w:rsidRPr="006823E9" w:rsidRDefault="00841D1E" w:rsidP="00841D1E">
                            <w:pPr>
                              <w:pStyle w:val="Paragraphedeliste"/>
                              <w:numPr>
                                <w:ilvl w:val="0"/>
                                <w:numId w:val="4"/>
                              </w:numPr>
                              <w:spacing w:after="0" w:line="240" w:lineRule="auto"/>
                              <w:rPr>
                                <w:rFonts w:eastAsia="Times New Roman" w:cstheme="minorHAnsi"/>
                                <w:b/>
                                <w:bCs/>
                                <w:color w:val="008F8F"/>
                                <w:sz w:val="36"/>
                                <w:szCs w:val="36"/>
                              </w:rPr>
                            </w:pPr>
                            <w:r w:rsidRPr="006823E9">
                              <w:rPr>
                                <w:b/>
                                <w:color w:val="008F8F"/>
                                <w:sz w:val="36"/>
                              </w:rPr>
                              <w:t>EBITDA up 7.5%</w:t>
                            </w:r>
                            <w:r w:rsidR="006823E9">
                              <w:rPr>
                                <w:b/>
                                <w:color w:val="008F8F"/>
                                <w:sz w:val="36"/>
                              </w:rPr>
                              <w:t>,</w:t>
                            </w:r>
                            <w:r w:rsidRPr="006823E9">
                              <w:rPr>
                                <w:b/>
                                <w:color w:val="008F8F"/>
                                <w:sz w:val="36"/>
                              </w:rPr>
                              <w:t xml:space="preserve"> to 20.2% of revenue</w:t>
                            </w:r>
                          </w:p>
                          <w:p w14:paraId="2EB80758" w14:textId="5FD71240" w:rsidR="00841D1E" w:rsidRPr="006823E9" w:rsidRDefault="00CF2AEC" w:rsidP="00841D1E">
                            <w:pPr>
                              <w:pStyle w:val="Paragraphedeliste"/>
                              <w:numPr>
                                <w:ilvl w:val="0"/>
                                <w:numId w:val="4"/>
                              </w:numPr>
                              <w:spacing w:after="0" w:line="240" w:lineRule="auto"/>
                              <w:rPr>
                                <w:rFonts w:eastAsia="Times New Roman" w:cstheme="minorHAnsi"/>
                                <w:b/>
                                <w:bCs/>
                                <w:color w:val="008F8F"/>
                                <w:sz w:val="36"/>
                                <w:szCs w:val="36"/>
                              </w:rPr>
                            </w:pPr>
                            <w:r>
                              <w:rPr>
                                <w:b/>
                                <w:color w:val="008F8F"/>
                                <w:sz w:val="36"/>
                              </w:rPr>
                              <w:t>Increase in r</w:t>
                            </w:r>
                            <w:r w:rsidR="00841D1E" w:rsidRPr="006823E9">
                              <w:rPr>
                                <w:b/>
                                <w:color w:val="008F8F"/>
                                <w:sz w:val="36"/>
                              </w:rPr>
                              <w:t xml:space="preserve">ecurring operating </w:t>
                            </w:r>
                            <w:r w:rsidR="00486B18">
                              <w:rPr>
                                <w:b/>
                                <w:color w:val="008F8F"/>
                                <w:sz w:val="36"/>
                              </w:rPr>
                              <w:t>profit</w:t>
                            </w:r>
                            <w:r w:rsidR="00841D1E" w:rsidRPr="006823E9">
                              <w:rPr>
                                <w:b/>
                                <w:color w:val="008F8F"/>
                                <w:sz w:val="36"/>
                              </w:rPr>
                              <w:t xml:space="preserve"> despite the inflationary context</w:t>
                            </w:r>
                            <w:r>
                              <w:rPr>
                                <w:b/>
                                <w:color w:val="008F8F"/>
                                <w:sz w:val="36"/>
                              </w:rPr>
                              <w:t xml:space="preserve"> and margin of 8.3%</w:t>
                            </w:r>
                            <w:r w:rsidR="00E74491">
                              <w:rPr>
                                <w:b/>
                                <w:color w:val="008F8F"/>
                                <w:sz w:val="36"/>
                              </w:rPr>
                              <w:t>.</w:t>
                            </w:r>
                          </w:p>
                          <w:p w14:paraId="64FE7629" w14:textId="77777777" w:rsidR="00841D1E" w:rsidRPr="0072117F" w:rsidRDefault="00841D1E" w:rsidP="00841D1E">
                            <w:pPr>
                              <w:spacing w:before="240" w:after="0" w:line="240" w:lineRule="auto"/>
                              <w:rPr>
                                <w:rFonts w:eastAsia="Times New Roman" w:cstheme="minorHAnsi"/>
                                <w:b/>
                                <w:bCs/>
                                <w:color w:val="008F8F"/>
                                <w:sz w:val="40"/>
                                <w:szCs w:val="40"/>
                              </w:rPr>
                            </w:pPr>
                            <w:r w:rsidRPr="006823E9">
                              <w:rPr>
                                <w:b/>
                                <w:color w:val="008F8F"/>
                                <w:sz w:val="40"/>
                              </w:rPr>
                              <w:t>2023-2024 outlook confirmed</w:t>
                            </w:r>
                            <w:r>
                              <w:rPr>
                                <w:b/>
                                <w:color w:val="008F8F"/>
                                <w:sz w:val="40"/>
                              </w:rPr>
                              <w:t xml:space="preserve"> </w:t>
                            </w:r>
                          </w:p>
                          <w:p w14:paraId="7D99C3C8" w14:textId="3123D74B" w:rsidR="000213FE" w:rsidRPr="000808E0" w:rsidRDefault="000213FE" w:rsidP="000808E0">
                            <w:pPr>
                              <w:spacing w:after="0" w:line="240" w:lineRule="auto"/>
                              <w:rPr>
                                <w:rFonts w:eastAsia="Times New Roman" w:cstheme="minorHAnsi"/>
                                <w:b/>
                                <w:bCs/>
                                <w:color w:val="008F8F"/>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9F7C3" id="_x0000_t202" coordsize="21600,21600" o:spt="202" path="m,l,21600r21600,l21600,xe">
                <v:stroke joinstyle="miter"/>
                <v:path gradientshapeok="t" o:connecttype="rect"/>
              </v:shapetype>
              <v:shape id="Zone de texte 2" o:spid="_x0000_s1026" type="#_x0000_t202" style="position:absolute;margin-left:139.15pt;margin-top:-76.35pt;width:352.5pt;height:2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ODgIAAPc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" stroked="f">
                <v:textbox>
                  <w:txbxContent>
                    <w:p w14:paraId="470720C7" w14:textId="77777777" w:rsidR="00841D1E" w:rsidRPr="006823E9" w:rsidRDefault="00841D1E" w:rsidP="00841D1E">
                      <w:pPr>
                        <w:spacing w:after="120" w:line="240" w:lineRule="auto"/>
                        <w:rPr>
                          <w:rFonts w:eastAsia="Times New Roman" w:cstheme="minorHAnsi"/>
                          <w:b/>
                          <w:bCs/>
                          <w:color w:val="008F8F"/>
                          <w:sz w:val="40"/>
                          <w:szCs w:val="40"/>
                        </w:rPr>
                      </w:pPr>
                      <w:r w:rsidRPr="006823E9">
                        <w:rPr>
                          <w:b/>
                          <w:color w:val="008F8F"/>
                          <w:sz w:val="40"/>
                        </w:rPr>
                        <w:t xml:space="preserve">2023-2024 half-yearly results </w:t>
                      </w:r>
                    </w:p>
                    <w:p w14:paraId="77814589" w14:textId="77777777" w:rsidR="00841D1E" w:rsidRPr="006823E9" w:rsidRDefault="00841D1E" w:rsidP="00841D1E">
                      <w:pPr>
                        <w:pStyle w:val="Paragraphedeliste"/>
                        <w:numPr>
                          <w:ilvl w:val="0"/>
                          <w:numId w:val="4"/>
                        </w:numPr>
                        <w:spacing w:after="0" w:line="240" w:lineRule="auto"/>
                        <w:rPr>
                          <w:rFonts w:eastAsia="Times New Roman" w:cstheme="minorHAnsi"/>
                          <w:b/>
                          <w:bCs/>
                          <w:color w:val="008F8F"/>
                          <w:sz w:val="36"/>
                          <w:szCs w:val="36"/>
                        </w:rPr>
                      </w:pPr>
                      <w:r w:rsidRPr="006823E9">
                        <w:rPr>
                          <w:b/>
                          <w:color w:val="008F8F"/>
                          <w:sz w:val="36"/>
                        </w:rPr>
                        <w:t>Organic growth up 5.7%</w:t>
                      </w:r>
                    </w:p>
                    <w:p w14:paraId="35559168" w14:textId="78436145" w:rsidR="00841D1E" w:rsidRPr="006823E9" w:rsidRDefault="00841D1E" w:rsidP="00841D1E">
                      <w:pPr>
                        <w:pStyle w:val="Paragraphedeliste"/>
                        <w:numPr>
                          <w:ilvl w:val="0"/>
                          <w:numId w:val="4"/>
                        </w:numPr>
                        <w:spacing w:after="0" w:line="240" w:lineRule="auto"/>
                        <w:rPr>
                          <w:rFonts w:eastAsia="Times New Roman" w:cstheme="minorHAnsi"/>
                          <w:b/>
                          <w:bCs/>
                          <w:color w:val="008F8F"/>
                          <w:sz w:val="36"/>
                          <w:szCs w:val="36"/>
                        </w:rPr>
                      </w:pPr>
                      <w:r w:rsidRPr="006823E9">
                        <w:rPr>
                          <w:b/>
                          <w:color w:val="008F8F"/>
                          <w:sz w:val="36"/>
                        </w:rPr>
                        <w:t>EBITDA up 7.5%</w:t>
                      </w:r>
                      <w:r w:rsidR="006823E9">
                        <w:rPr>
                          <w:b/>
                          <w:color w:val="008F8F"/>
                          <w:sz w:val="36"/>
                        </w:rPr>
                        <w:t>,</w:t>
                      </w:r>
                      <w:r w:rsidRPr="006823E9">
                        <w:rPr>
                          <w:b/>
                          <w:color w:val="008F8F"/>
                          <w:sz w:val="36"/>
                        </w:rPr>
                        <w:t xml:space="preserve"> to 20.2% of revenue</w:t>
                      </w:r>
                    </w:p>
                    <w:p w14:paraId="2EB80758" w14:textId="5FD71240" w:rsidR="00841D1E" w:rsidRPr="006823E9" w:rsidRDefault="00CF2AEC" w:rsidP="00841D1E">
                      <w:pPr>
                        <w:pStyle w:val="Paragraphedeliste"/>
                        <w:numPr>
                          <w:ilvl w:val="0"/>
                          <w:numId w:val="4"/>
                        </w:numPr>
                        <w:spacing w:after="0" w:line="240" w:lineRule="auto"/>
                        <w:rPr>
                          <w:rFonts w:eastAsia="Times New Roman" w:cstheme="minorHAnsi"/>
                          <w:b/>
                          <w:bCs/>
                          <w:color w:val="008F8F"/>
                          <w:sz w:val="36"/>
                          <w:szCs w:val="36"/>
                        </w:rPr>
                      </w:pPr>
                      <w:r>
                        <w:rPr>
                          <w:b/>
                          <w:color w:val="008F8F"/>
                          <w:sz w:val="36"/>
                        </w:rPr>
                        <w:t>Increase in r</w:t>
                      </w:r>
                      <w:r w:rsidR="00841D1E" w:rsidRPr="006823E9">
                        <w:rPr>
                          <w:b/>
                          <w:color w:val="008F8F"/>
                          <w:sz w:val="36"/>
                        </w:rPr>
                        <w:t xml:space="preserve">ecurring operating </w:t>
                      </w:r>
                      <w:r w:rsidR="00486B18">
                        <w:rPr>
                          <w:b/>
                          <w:color w:val="008F8F"/>
                          <w:sz w:val="36"/>
                        </w:rPr>
                        <w:t>profit</w:t>
                      </w:r>
                      <w:r w:rsidR="00841D1E" w:rsidRPr="006823E9">
                        <w:rPr>
                          <w:b/>
                          <w:color w:val="008F8F"/>
                          <w:sz w:val="36"/>
                        </w:rPr>
                        <w:t xml:space="preserve"> despite the inflationary context</w:t>
                      </w:r>
                      <w:r>
                        <w:rPr>
                          <w:b/>
                          <w:color w:val="008F8F"/>
                          <w:sz w:val="36"/>
                        </w:rPr>
                        <w:t xml:space="preserve"> and margin of 8.3%</w:t>
                      </w:r>
                      <w:r w:rsidR="00E74491">
                        <w:rPr>
                          <w:b/>
                          <w:color w:val="008F8F"/>
                          <w:sz w:val="36"/>
                        </w:rPr>
                        <w:t>.</w:t>
                      </w:r>
                    </w:p>
                    <w:p w14:paraId="64FE7629" w14:textId="77777777" w:rsidR="00841D1E" w:rsidRPr="0072117F" w:rsidRDefault="00841D1E" w:rsidP="00841D1E">
                      <w:pPr>
                        <w:spacing w:before="240" w:after="0" w:line="240" w:lineRule="auto"/>
                        <w:rPr>
                          <w:rFonts w:eastAsia="Times New Roman" w:cstheme="minorHAnsi"/>
                          <w:b/>
                          <w:bCs/>
                          <w:color w:val="008F8F"/>
                          <w:sz w:val="40"/>
                          <w:szCs w:val="40"/>
                        </w:rPr>
                      </w:pPr>
                      <w:r w:rsidRPr="006823E9">
                        <w:rPr>
                          <w:b/>
                          <w:color w:val="008F8F"/>
                          <w:sz w:val="40"/>
                        </w:rPr>
                        <w:t>2023-2024 outlook confirmed</w:t>
                      </w:r>
                      <w:r>
                        <w:rPr>
                          <w:b/>
                          <w:color w:val="008F8F"/>
                          <w:sz w:val="40"/>
                        </w:rPr>
                        <w:t xml:space="preserve"> </w:t>
                      </w:r>
                    </w:p>
                    <w:p w14:paraId="7D99C3C8" w14:textId="3123D74B" w:rsidR="000213FE" w:rsidRPr="000808E0" w:rsidRDefault="000213FE" w:rsidP="000808E0">
                      <w:pPr>
                        <w:spacing w:after="0" w:line="240" w:lineRule="auto"/>
                        <w:rPr>
                          <w:rFonts w:eastAsia="Times New Roman" w:cstheme="minorHAnsi"/>
                          <w:b/>
                          <w:bCs/>
                          <w:color w:val="008F8F"/>
                          <w:sz w:val="36"/>
                          <w:szCs w:val="36"/>
                        </w:rPr>
                      </w:pPr>
                    </w:p>
                  </w:txbxContent>
                </v:textbox>
                <w10:wrap anchorx="margin"/>
              </v:shape>
            </w:pict>
          </mc:Fallback>
        </mc:AlternateContent>
      </w:r>
      <w:r w:rsidR="007F3CDC">
        <w:rPr>
          <w:rFonts w:eastAsia="Times New Roman" w:cstheme="minorHAnsi"/>
          <w:b/>
          <w:bCs/>
          <w:sz w:val="32"/>
          <w:szCs w:val="32"/>
        </w:rPr>
        <w:tab/>
      </w:r>
    </w:p>
    <w:p w14:paraId="5C81D592" w14:textId="07FCB76A" w:rsidR="008B3396" w:rsidRPr="00DB61C2" w:rsidRDefault="00D97D20" w:rsidP="00DD127F">
      <w:pPr>
        <w:spacing w:after="0" w:line="240" w:lineRule="auto"/>
        <w:rPr>
          <w:rFonts w:eastAsia="Times New Roman" w:cstheme="minorHAnsi"/>
          <w:b/>
          <w:bCs/>
          <w:sz w:val="32"/>
          <w:szCs w:val="32"/>
        </w:rPr>
      </w:pPr>
      <w:r w:rsidRPr="00DB61C2">
        <w:rPr>
          <w:b/>
          <w:sz w:val="32"/>
        </w:rPr>
        <w:tab/>
      </w:r>
    </w:p>
    <w:p w14:paraId="4C019391" w14:textId="77777777" w:rsidR="004A570F" w:rsidRPr="00DB61C2" w:rsidRDefault="004A570F" w:rsidP="00D97D20">
      <w:pPr>
        <w:tabs>
          <w:tab w:val="left" w:pos="5931"/>
        </w:tabs>
        <w:spacing w:after="0" w:line="240" w:lineRule="auto"/>
        <w:rPr>
          <w:rFonts w:eastAsia="Times New Roman" w:cstheme="minorHAnsi"/>
          <w:b/>
          <w:bCs/>
          <w:sz w:val="32"/>
          <w:szCs w:val="32"/>
          <w:lang w:eastAsia="fr-FR"/>
        </w:rPr>
      </w:pPr>
    </w:p>
    <w:p w14:paraId="2C6D243C" w14:textId="77777777" w:rsidR="008A6F66" w:rsidRPr="00DB61C2" w:rsidRDefault="008A6F66" w:rsidP="00D97D20">
      <w:pPr>
        <w:tabs>
          <w:tab w:val="left" w:pos="5931"/>
        </w:tabs>
        <w:spacing w:after="0" w:line="240" w:lineRule="auto"/>
        <w:rPr>
          <w:rFonts w:eastAsia="Times New Roman" w:cstheme="minorHAnsi"/>
          <w:b/>
          <w:bCs/>
          <w:sz w:val="20"/>
          <w:szCs w:val="20"/>
          <w:lang w:eastAsia="fr-FR"/>
        </w:rPr>
      </w:pPr>
    </w:p>
    <w:p w14:paraId="7C4FF6EB" w14:textId="77777777" w:rsidR="008A6F66" w:rsidRPr="00DB61C2" w:rsidRDefault="008A6F66" w:rsidP="00D97D20">
      <w:pPr>
        <w:tabs>
          <w:tab w:val="left" w:pos="5931"/>
        </w:tabs>
        <w:spacing w:after="0" w:line="240" w:lineRule="auto"/>
        <w:rPr>
          <w:rFonts w:eastAsia="Times New Roman" w:cstheme="minorHAnsi"/>
          <w:b/>
          <w:bCs/>
          <w:sz w:val="20"/>
          <w:szCs w:val="20"/>
          <w:lang w:eastAsia="fr-FR"/>
        </w:rPr>
      </w:pPr>
    </w:p>
    <w:p w14:paraId="4D8DE44F" w14:textId="77777777" w:rsidR="008A6F66" w:rsidRPr="00DB61C2" w:rsidRDefault="008A6F66" w:rsidP="00D97D20">
      <w:pPr>
        <w:tabs>
          <w:tab w:val="left" w:pos="5931"/>
        </w:tabs>
        <w:spacing w:after="0" w:line="240" w:lineRule="auto"/>
        <w:rPr>
          <w:rFonts w:eastAsia="Times New Roman" w:cstheme="minorHAnsi"/>
          <w:b/>
          <w:bCs/>
          <w:sz w:val="20"/>
          <w:szCs w:val="20"/>
          <w:lang w:eastAsia="fr-FR"/>
        </w:rPr>
      </w:pPr>
    </w:p>
    <w:p w14:paraId="19604C88" w14:textId="77777777" w:rsidR="000808E0" w:rsidRPr="00DB61C2" w:rsidRDefault="000808E0" w:rsidP="00D97D20">
      <w:pPr>
        <w:tabs>
          <w:tab w:val="left" w:pos="5931"/>
        </w:tabs>
        <w:spacing w:after="0" w:line="240" w:lineRule="auto"/>
        <w:rPr>
          <w:rFonts w:eastAsia="Times New Roman" w:cstheme="minorHAnsi"/>
          <w:b/>
          <w:bCs/>
          <w:sz w:val="20"/>
          <w:szCs w:val="20"/>
          <w:lang w:eastAsia="fr-FR"/>
        </w:rPr>
      </w:pPr>
    </w:p>
    <w:p w14:paraId="795AD032" w14:textId="77777777" w:rsidR="000808E0" w:rsidRPr="00DB61C2" w:rsidRDefault="000808E0" w:rsidP="00D97D20">
      <w:pPr>
        <w:tabs>
          <w:tab w:val="left" w:pos="5931"/>
        </w:tabs>
        <w:spacing w:after="0" w:line="240" w:lineRule="auto"/>
        <w:rPr>
          <w:rFonts w:eastAsia="Times New Roman" w:cstheme="minorHAnsi"/>
          <w:b/>
          <w:bCs/>
          <w:sz w:val="20"/>
          <w:szCs w:val="20"/>
          <w:lang w:eastAsia="fr-FR"/>
        </w:rPr>
      </w:pPr>
    </w:p>
    <w:p w14:paraId="12B102CA" w14:textId="77777777" w:rsidR="005E7743" w:rsidRPr="00DB61C2" w:rsidRDefault="005E7743" w:rsidP="0081623D">
      <w:pPr>
        <w:tabs>
          <w:tab w:val="left" w:pos="5931"/>
        </w:tabs>
        <w:spacing w:after="0" w:line="240" w:lineRule="auto"/>
        <w:rPr>
          <w:rFonts w:eastAsia="Times New Roman" w:cstheme="minorHAnsi"/>
          <w:b/>
          <w:bCs/>
          <w:sz w:val="20"/>
          <w:szCs w:val="20"/>
          <w:lang w:eastAsia="fr-FR"/>
        </w:rPr>
      </w:pPr>
    </w:p>
    <w:p w14:paraId="37C0290C" w14:textId="77777777" w:rsidR="005E7743" w:rsidRPr="00DB61C2" w:rsidRDefault="005E7743" w:rsidP="0081623D">
      <w:pPr>
        <w:tabs>
          <w:tab w:val="left" w:pos="5931"/>
        </w:tabs>
        <w:spacing w:after="0" w:line="240" w:lineRule="auto"/>
        <w:rPr>
          <w:rFonts w:eastAsia="Times New Roman" w:cstheme="minorHAnsi"/>
          <w:b/>
          <w:bCs/>
          <w:sz w:val="20"/>
          <w:szCs w:val="20"/>
          <w:lang w:eastAsia="fr-FR"/>
        </w:rPr>
      </w:pPr>
    </w:p>
    <w:p w14:paraId="12000623" w14:textId="255F6388" w:rsidR="00D97D20" w:rsidRPr="00DB61C2" w:rsidRDefault="004A570F" w:rsidP="0081623D">
      <w:pPr>
        <w:tabs>
          <w:tab w:val="left" w:pos="5931"/>
        </w:tabs>
        <w:spacing w:after="0" w:line="240" w:lineRule="auto"/>
        <w:rPr>
          <w:rFonts w:eastAsia="Times New Roman" w:cstheme="minorHAnsi"/>
          <w:b/>
          <w:bCs/>
          <w:sz w:val="20"/>
          <w:szCs w:val="20"/>
        </w:rPr>
      </w:pPr>
      <w:proofErr w:type="spellStart"/>
      <w:r w:rsidRPr="00DB61C2">
        <w:rPr>
          <w:b/>
          <w:sz w:val="20"/>
        </w:rPr>
        <w:t>Caissargues</w:t>
      </w:r>
      <w:proofErr w:type="spellEnd"/>
      <w:r w:rsidRPr="00DB61C2">
        <w:rPr>
          <w:b/>
          <w:sz w:val="20"/>
        </w:rPr>
        <w:t>, March 20, 2024</w:t>
      </w:r>
    </w:p>
    <w:p w14:paraId="1F753452" w14:textId="77777777" w:rsidR="00714F24" w:rsidRPr="00DB61C2" w:rsidRDefault="00714F24" w:rsidP="0081623D">
      <w:pPr>
        <w:tabs>
          <w:tab w:val="left" w:pos="5931"/>
        </w:tabs>
        <w:spacing w:after="0" w:line="240" w:lineRule="auto"/>
        <w:rPr>
          <w:rFonts w:eastAsia="Times New Roman" w:cstheme="minorHAnsi"/>
          <w:b/>
          <w:bCs/>
          <w:sz w:val="24"/>
          <w:szCs w:val="24"/>
          <w:lang w:eastAsia="fr-FR"/>
        </w:rPr>
      </w:pPr>
    </w:p>
    <w:tbl>
      <w:tblPr>
        <w:tblpPr w:leftFromText="141" w:rightFromText="141" w:vertAnchor="text" w:horzAnchor="margin" w:tblpY="76"/>
        <w:tblW w:w="856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A0" w:firstRow="1" w:lastRow="0" w:firstColumn="1" w:lastColumn="0" w:noHBand="0" w:noVBand="0"/>
      </w:tblPr>
      <w:tblGrid>
        <w:gridCol w:w="3636"/>
        <w:gridCol w:w="1462"/>
        <w:gridCol w:w="1736"/>
        <w:gridCol w:w="1730"/>
      </w:tblGrid>
      <w:tr w:rsidR="00841D1E" w:rsidRPr="00DB61C2" w14:paraId="7DD93B24" w14:textId="77777777" w:rsidTr="00841D1E">
        <w:trPr>
          <w:trHeight w:val="435"/>
        </w:trPr>
        <w:tc>
          <w:tcPr>
            <w:tcW w:w="0" w:type="auto"/>
            <w:tcBorders>
              <w:top w:val="single" w:sz="4" w:space="0" w:color="FFFFFF" w:themeColor="background1"/>
              <w:left w:val="single" w:sz="4" w:space="0" w:color="FFFFFF" w:themeColor="background1"/>
              <w:bottom w:val="single" w:sz="4" w:space="0" w:color="008F8F"/>
              <w:right w:val="single" w:sz="4" w:space="0" w:color="FFFFFF" w:themeColor="background1"/>
            </w:tcBorders>
            <w:noWrap/>
            <w:vAlign w:val="bottom"/>
            <w:hideMark/>
          </w:tcPr>
          <w:p w14:paraId="628A4C51" w14:textId="2ACFE662" w:rsidR="00841D1E" w:rsidRPr="00DB61C2" w:rsidRDefault="00841D1E" w:rsidP="00841D1E">
            <w:pPr>
              <w:spacing w:after="120" w:line="240" w:lineRule="auto"/>
              <w:rPr>
                <w:rFonts w:eastAsia="Times New Roman" w:cstheme="minorHAnsi"/>
                <w:b/>
                <w:bCs/>
              </w:rPr>
            </w:pPr>
            <w:bookmarkStart w:id="0" w:name="_Hlk148366015"/>
            <w:r w:rsidRPr="00DB61C2">
              <w:rPr>
                <w:b/>
              </w:rPr>
              <w:t xml:space="preserve">In € millions - </w:t>
            </w:r>
            <w:r w:rsidRPr="00DB61C2">
              <w:t>Year ended June 30</w:t>
            </w:r>
          </w:p>
        </w:tc>
        <w:tc>
          <w:tcPr>
            <w:tcW w:w="1462" w:type="dxa"/>
            <w:tcBorders>
              <w:top w:val="single" w:sz="4" w:space="0" w:color="FFFFFF" w:themeColor="background1"/>
              <w:left w:val="single" w:sz="4" w:space="0" w:color="FFFFFF" w:themeColor="background1"/>
              <w:bottom w:val="single" w:sz="4" w:space="0" w:color="008F8F"/>
              <w:right w:val="single" w:sz="4" w:space="0" w:color="FFFFFF" w:themeColor="background1"/>
            </w:tcBorders>
            <w:vAlign w:val="bottom"/>
          </w:tcPr>
          <w:p w14:paraId="6E9E99B6" w14:textId="548FA325" w:rsidR="00841D1E" w:rsidRPr="00DB61C2" w:rsidRDefault="00841D1E" w:rsidP="00841D1E">
            <w:pPr>
              <w:spacing w:after="120" w:line="240" w:lineRule="auto"/>
              <w:jc w:val="right"/>
              <w:rPr>
                <w:rFonts w:eastAsia="Times New Roman" w:cstheme="minorHAnsi"/>
                <w:b/>
                <w:bCs/>
              </w:rPr>
            </w:pPr>
            <w:r w:rsidRPr="00DB61C2">
              <w:rPr>
                <w:b/>
              </w:rPr>
              <w:t xml:space="preserve">H1 2022-2023 </w:t>
            </w:r>
          </w:p>
        </w:tc>
        <w:tc>
          <w:tcPr>
            <w:tcW w:w="1736" w:type="dxa"/>
            <w:tcBorders>
              <w:top w:val="single" w:sz="4" w:space="0" w:color="FFFFFF" w:themeColor="background1"/>
              <w:left w:val="single" w:sz="4" w:space="0" w:color="FFFFFF" w:themeColor="background1"/>
              <w:bottom w:val="single" w:sz="4" w:space="0" w:color="008F8F"/>
              <w:right w:val="single" w:sz="4" w:space="0" w:color="FFFFFF" w:themeColor="background1"/>
            </w:tcBorders>
            <w:vAlign w:val="bottom"/>
            <w:hideMark/>
          </w:tcPr>
          <w:p w14:paraId="557BD699" w14:textId="38470ED0" w:rsidR="00841D1E" w:rsidRPr="00DB61C2" w:rsidRDefault="00841D1E" w:rsidP="00841D1E">
            <w:pPr>
              <w:spacing w:after="120" w:line="240" w:lineRule="auto"/>
              <w:jc w:val="right"/>
              <w:rPr>
                <w:rFonts w:eastAsia="Times New Roman" w:cstheme="minorHAnsi"/>
                <w:b/>
                <w:bCs/>
                <w:color w:val="008F8F"/>
              </w:rPr>
            </w:pPr>
            <w:r w:rsidRPr="00DB61C2">
              <w:rPr>
                <w:b/>
                <w:color w:val="008F8F"/>
              </w:rPr>
              <w:t>H1 2023-2024</w:t>
            </w:r>
          </w:p>
        </w:tc>
        <w:tc>
          <w:tcPr>
            <w:tcW w:w="1730" w:type="dxa"/>
            <w:tcBorders>
              <w:top w:val="single" w:sz="4" w:space="0" w:color="FFFFFF" w:themeColor="background1"/>
              <w:left w:val="single" w:sz="4" w:space="0" w:color="FFFFFF" w:themeColor="background1"/>
              <w:bottom w:val="single" w:sz="4" w:space="0" w:color="008F8F"/>
              <w:right w:val="single" w:sz="4" w:space="0" w:color="FFFFFF" w:themeColor="background1"/>
            </w:tcBorders>
            <w:vAlign w:val="bottom"/>
          </w:tcPr>
          <w:p w14:paraId="0AE4929D" w14:textId="455E6960" w:rsidR="00841D1E" w:rsidRPr="00DB61C2" w:rsidRDefault="00841D1E" w:rsidP="00841D1E">
            <w:pPr>
              <w:spacing w:after="120" w:line="240" w:lineRule="auto"/>
              <w:jc w:val="right"/>
              <w:rPr>
                <w:rFonts w:eastAsia="Times New Roman" w:cstheme="minorHAnsi"/>
                <w:b/>
                <w:bCs/>
                <w:i/>
                <w:iCs/>
              </w:rPr>
            </w:pPr>
            <w:r w:rsidRPr="00DB61C2">
              <w:rPr>
                <w:b/>
                <w:i/>
              </w:rPr>
              <w:t>Change</w:t>
            </w:r>
          </w:p>
        </w:tc>
      </w:tr>
      <w:tr w:rsidR="00841D1E" w:rsidRPr="00DB61C2" w14:paraId="6B383B2D" w14:textId="77777777" w:rsidTr="00841D1E">
        <w:trPr>
          <w:trHeight w:val="435"/>
        </w:trPr>
        <w:tc>
          <w:tcPr>
            <w:tcW w:w="0" w:type="auto"/>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11BED76E" w14:textId="27746B80" w:rsidR="00841D1E" w:rsidRPr="00DB61C2" w:rsidRDefault="00841D1E" w:rsidP="00841D1E">
            <w:pPr>
              <w:spacing w:after="120" w:line="240" w:lineRule="auto"/>
              <w:rPr>
                <w:rFonts w:eastAsia="Times New Roman" w:cstheme="minorHAnsi"/>
              </w:rPr>
            </w:pPr>
            <w:r w:rsidRPr="00DB61C2">
              <w:t xml:space="preserve">Revenue </w:t>
            </w:r>
          </w:p>
        </w:tc>
        <w:tc>
          <w:tcPr>
            <w:tcW w:w="1462"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615B5A78" w14:textId="7EF10E4A" w:rsidR="00841D1E" w:rsidRPr="00DB61C2" w:rsidRDefault="00841D1E" w:rsidP="00841D1E">
            <w:pPr>
              <w:spacing w:after="120" w:line="240" w:lineRule="auto"/>
              <w:jc w:val="right"/>
              <w:rPr>
                <w:rFonts w:eastAsia="Times New Roman" w:cstheme="minorHAnsi"/>
              </w:rPr>
            </w:pPr>
            <w:r w:rsidRPr="00DB61C2">
              <w:rPr>
                <w:lang w:eastAsia="fr-FR" w:bidi="te-IN"/>
              </w:rPr>
              <w:t>249.7</w:t>
            </w:r>
          </w:p>
        </w:tc>
        <w:tc>
          <w:tcPr>
            <w:tcW w:w="1736"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08AAA0B0" w14:textId="502E24A9" w:rsidR="00841D1E" w:rsidRPr="00DB61C2" w:rsidRDefault="00841D1E" w:rsidP="00841D1E">
            <w:pPr>
              <w:spacing w:after="120" w:line="240" w:lineRule="auto"/>
              <w:jc w:val="right"/>
              <w:rPr>
                <w:rFonts w:eastAsia="Times New Roman" w:cstheme="minorHAnsi"/>
                <w:color w:val="008F8F"/>
              </w:rPr>
            </w:pPr>
            <w:r w:rsidRPr="00DB61C2">
              <w:rPr>
                <w:color w:val="008F8F"/>
                <w:lang w:eastAsia="fr-FR" w:bidi="te-IN"/>
              </w:rPr>
              <w:t>265.0</w:t>
            </w:r>
          </w:p>
        </w:tc>
        <w:tc>
          <w:tcPr>
            <w:tcW w:w="1730"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14E3336B" w14:textId="6703D3C5" w:rsidR="00841D1E" w:rsidRPr="00DB61C2" w:rsidRDefault="00841D1E" w:rsidP="00841D1E">
            <w:pPr>
              <w:spacing w:after="120" w:line="240" w:lineRule="auto"/>
              <w:jc w:val="right"/>
              <w:rPr>
                <w:rFonts w:eastAsia="Times New Roman" w:cstheme="minorHAnsi"/>
                <w:i/>
                <w:iCs/>
              </w:rPr>
            </w:pPr>
            <w:r w:rsidRPr="00DB61C2">
              <w:rPr>
                <w:i/>
                <w:lang w:eastAsia="fr-FR" w:bidi="te-IN"/>
              </w:rPr>
              <w:t>+6.1 %</w:t>
            </w:r>
          </w:p>
        </w:tc>
      </w:tr>
      <w:tr w:rsidR="00841D1E" w:rsidRPr="00DB61C2" w14:paraId="10C090FB" w14:textId="77777777" w:rsidTr="00841D1E">
        <w:trPr>
          <w:trHeight w:val="435"/>
        </w:trPr>
        <w:tc>
          <w:tcPr>
            <w:tcW w:w="0" w:type="auto"/>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54F082E4" w14:textId="6B4F32C8" w:rsidR="00841D1E" w:rsidRPr="00DB61C2" w:rsidRDefault="00841D1E" w:rsidP="00841D1E">
            <w:pPr>
              <w:spacing w:after="120" w:line="240" w:lineRule="auto"/>
              <w:rPr>
                <w:rFonts w:eastAsia="Times New Roman" w:cstheme="minorHAnsi"/>
                <w:b/>
                <w:bCs/>
              </w:rPr>
            </w:pPr>
            <w:r w:rsidRPr="00DB61C2">
              <w:rPr>
                <w:b/>
              </w:rPr>
              <w:t>EBITDA</w:t>
            </w:r>
            <w:r w:rsidRPr="00DB61C2">
              <w:rPr>
                <w:rStyle w:val="Appelnotedebasdep"/>
                <w:lang w:eastAsia="fr-FR" w:bidi="te-IN"/>
              </w:rPr>
              <w:t>*</w:t>
            </w:r>
          </w:p>
        </w:tc>
        <w:tc>
          <w:tcPr>
            <w:tcW w:w="1462"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29DA3A40" w14:textId="1A2DBE3E" w:rsidR="00841D1E" w:rsidRPr="00DB61C2" w:rsidRDefault="00841D1E" w:rsidP="00841D1E">
            <w:pPr>
              <w:spacing w:after="120" w:line="240" w:lineRule="auto"/>
              <w:jc w:val="right"/>
              <w:rPr>
                <w:rFonts w:eastAsia="Times New Roman" w:cstheme="minorHAnsi"/>
                <w:b/>
                <w:bCs/>
              </w:rPr>
            </w:pPr>
            <w:r w:rsidRPr="00DB61C2">
              <w:rPr>
                <w:b/>
                <w:lang w:eastAsia="fr-FR" w:bidi="te-IN"/>
              </w:rPr>
              <w:t>49.9</w:t>
            </w:r>
          </w:p>
        </w:tc>
        <w:tc>
          <w:tcPr>
            <w:tcW w:w="1736"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33F95F6D" w14:textId="031FF018" w:rsidR="00841D1E" w:rsidRPr="00DB61C2" w:rsidRDefault="00841D1E" w:rsidP="00841D1E">
            <w:pPr>
              <w:spacing w:after="120" w:line="240" w:lineRule="auto"/>
              <w:jc w:val="right"/>
              <w:rPr>
                <w:rFonts w:eastAsia="Times New Roman" w:cstheme="minorHAnsi"/>
                <w:b/>
                <w:bCs/>
                <w:color w:val="008F8F"/>
              </w:rPr>
            </w:pPr>
            <w:r w:rsidRPr="00DB61C2">
              <w:rPr>
                <w:b/>
                <w:color w:val="008F8F"/>
                <w:lang w:eastAsia="fr-FR" w:bidi="te-IN"/>
              </w:rPr>
              <w:t>53.6</w:t>
            </w:r>
          </w:p>
        </w:tc>
        <w:tc>
          <w:tcPr>
            <w:tcW w:w="1730"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00CE9897" w14:textId="68569370" w:rsidR="00841D1E" w:rsidRPr="00DB61C2" w:rsidRDefault="00841D1E" w:rsidP="00841D1E">
            <w:pPr>
              <w:spacing w:after="120" w:line="240" w:lineRule="auto"/>
              <w:jc w:val="right"/>
              <w:rPr>
                <w:rFonts w:eastAsia="Times New Roman" w:cstheme="minorHAnsi"/>
                <w:i/>
                <w:iCs/>
              </w:rPr>
            </w:pPr>
            <w:r w:rsidRPr="00DB61C2">
              <w:rPr>
                <w:b/>
                <w:i/>
                <w:lang w:eastAsia="fr-FR" w:bidi="te-IN"/>
              </w:rPr>
              <w:t>+7.5 %</w:t>
            </w:r>
          </w:p>
        </w:tc>
      </w:tr>
      <w:tr w:rsidR="00841D1E" w:rsidRPr="00DB61C2" w14:paraId="22DC554A" w14:textId="77777777" w:rsidTr="00841D1E">
        <w:trPr>
          <w:trHeight w:val="435"/>
        </w:trPr>
        <w:tc>
          <w:tcPr>
            <w:tcW w:w="0" w:type="auto"/>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6CE9A0CD" w14:textId="1C2C5D40" w:rsidR="00841D1E" w:rsidRPr="00DB61C2" w:rsidRDefault="00841D1E" w:rsidP="00841D1E">
            <w:pPr>
              <w:spacing w:after="120" w:line="240" w:lineRule="auto"/>
              <w:rPr>
                <w:rFonts w:eastAsia="Times New Roman" w:cstheme="minorHAnsi"/>
                <w:i/>
                <w:iCs/>
              </w:rPr>
            </w:pPr>
            <w:r w:rsidRPr="00DB61C2">
              <w:rPr>
                <w:i/>
              </w:rPr>
              <w:t>EBITDA margin</w:t>
            </w:r>
          </w:p>
        </w:tc>
        <w:tc>
          <w:tcPr>
            <w:tcW w:w="1462"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59CACB1D" w14:textId="4D3B96A9" w:rsidR="00841D1E" w:rsidRPr="00DB61C2" w:rsidRDefault="00841D1E" w:rsidP="00841D1E">
            <w:pPr>
              <w:spacing w:after="120" w:line="240" w:lineRule="auto"/>
              <w:jc w:val="right"/>
              <w:rPr>
                <w:rFonts w:eastAsia="Times New Roman" w:cstheme="minorHAnsi"/>
                <w:i/>
                <w:iCs/>
              </w:rPr>
            </w:pPr>
            <w:r w:rsidRPr="00DB61C2">
              <w:rPr>
                <w:i/>
                <w:lang w:eastAsia="fr-FR" w:bidi="te-IN"/>
              </w:rPr>
              <w:t>20.0%</w:t>
            </w:r>
          </w:p>
        </w:tc>
        <w:tc>
          <w:tcPr>
            <w:tcW w:w="1736"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53DEFC50" w14:textId="73859C18" w:rsidR="00841D1E" w:rsidRPr="00DB61C2" w:rsidRDefault="00841D1E" w:rsidP="00841D1E">
            <w:pPr>
              <w:spacing w:after="120" w:line="240" w:lineRule="auto"/>
              <w:jc w:val="right"/>
              <w:rPr>
                <w:rFonts w:eastAsia="Times New Roman" w:cstheme="minorHAnsi"/>
                <w:i/>
                <w:iCs/>
                <w:color w:val="008F8F"/>
              </w:rPr>
            </w:pPr>
            <w:r w:rsidRPr="00DB61C2">
              <w:rPr>
                <w:i/>
                <w:color w:val="008F8F"/>
                <w:lang w:eastAsia="fr-FR" w:bidi="te-IN"/>
              </w:rPr>
              <w:t>20.2%</w:t>
            </w:r>
          </w:p>
        </w:tc>
        <w:tc>
          <w:tcPr>
            <w:tcW w:w="1730"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2C826EAB" w14:textId="77777777" w:rsidR="00841D1E" w:rsidRPr="00DB61C2" w:rsidRDefault="00841D1E" w:rsidP="00841D1E">
            <w:pPr>
              <w:spacing w:after="120" w:line="240" w:lineRule="auto"/>
              <w:jc w:val="right"/>
              <w:rPr>
                <w:rFonts w:eastAsia="Times New Roman" w:cstheme="minorHAnsi"/>
                <w:i/>
                <w:iCs/>
                <w:lang w:eastAsia="fr-FR" w:bidi="te-IN"/>
              </w:rPr>
            </w:pPr>
          </w:p>
        </w:tc>
      </w:tr>
      <w:tr w:rsidR="00841D1E" w:rsidRPr="00DB61C2" w14:paraId="1C600666" w14:textId="77777777" w:rsidTr="00841D1E">
        <w:trPr>
          <w:trHeight w:val="435"/>
        </w:trPr>
        <w:tc>
          <w:tcPr>
            <w:tcW w:w="0" w:type="auto"/>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6B8C5C77" w14:textId="3304932C" w:rsidR="00841D1E" w:rsidRPr="00DB61C2" w:rsidRDefault="00841D1E" w:rsidP="00841D1E">
            <w:pPr>
              <w:spacing w:after="120" w:line="240" w:lineRule="auto"/>
              <w:rPr>
                <w:rFonts w:eastAsia="Times New Roman" w:cstheme="minorHAnsi"/>
                <w:b/>
                <w:bCs/>
              </w:rPr>
            </w:pPr>
            <w:r w:rsidRPr="00DB61C2">
              <w:rPr>
                <w:b/>
              </w:rPr>
              <w:t>Recurring operating profit</w:t>
            </w:r>
          </w:p>
        </w:tc>
        <w:tc>
          <w:tcPr>
            <w:tcW w:w="1462"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02C43752" w14:textId="302B7752" w:rsidR="00841D1E" w:rsidRPr="00DB61C2" w:rsidRDefault="00841D1E" w:rsidP="00841D1E">
            <w:pPr>
              <w:spacing w:after="120" w:line="240" w:lineRule="auto"/>
              <w:jc w:val="right"/>
              <w:rPr>
                <w:rFonts w:eastAsia="Times New Roman" w:cstheme="minorHAnsi"/>
                <w:b/>
                <w:bCs/>
              </w:rPr>
            </w:pPr>
            <w:r w:rsidRPr="00DB61C2">
              <w:rPr>
                <w:b/>
                <w:lang w:eastAsia="fr-FR" w:bidi="te-IN"/>
              </w:rPr>
              <w:t>21.5</w:t>
            </w:r>
          </w:p>
        </w:tc>
        <w:tc>
          <w:tcPr>
            <w:tcW w:w="1736"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3C8B0275" w14:textId="21BB706A" w:rsidR="00841D1E" w:rsidRPr="00DB61C2" w:rsidRDefault="00841D1E" w:rsidP="00841D1E">
            <w:pPr>
              <w:spacing w:after="120" w:line="240" w:lineRule="auto"/>
              <w:jc w:val="right"/>
              <w:rPr>
                <w:rFonts w:eastAsia="Times New Roman" w:cstheme="minorHAnsi"/>
                <w:b/>
                <w:bCs/>
                <w:color w:val="008F8F"/>
              </w:rPr>
            </w:pPr>
            <w:r w:rsidRPr="00DB61C2">
              <w:rPr>
                <w:b/>
                <w:color w:val="008F8F"/>
                <w:lang w:eastAsia="fr-FR" w:bidi="te-IN"/>
              </w:rPr>
              <w:t>21.9</w:t>
            </w:r>
          </w:p>
        </w:tc>
        <w:tc>
          <w:tcPr>
            <w:tcW w:w="1730"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3BEA08CA" w14:textId="62AD00F5" w:rsidR="00841D1E" w:rsidRPr="00DB61C2" w:rsidRDefault="00841D1E" w:rsidP="00841D1E">
            <w:pPr>
              <w:spacing w:after="120" w:line="240" w:lineRule="auto"/>
              <w:jc w:val="right"/>
              <w:rPr>
                <w:rFonts w:eastAsia="Times New Roman" w:cstheme="minorHAnsi"/>
                <w:i/>
                <w:iCs/>
              </w:rPr>
            </w:pPr>
            <w:r w:rsidRPr="00DB61C2">
              <w:rPr>
                <w:b/>
                <w:i/>
                <w:lang w:eastAsia="fr-FR" w:bidi="te-IN"/>
              </w:rPr>
              <w:t>+2.1%</w:t>
            </w:r>
          </w:p>
        </w:tc>
      </w:tr>
      <w:tr w:rsidR="00841D1E" w:rsidRPr="00DB61C2" w14:paraId="6437888C" w14:textId="77777777" w:rsidTr="00841D1E">
        <w:trPr>
          <w:trHeight w:val="435"/>
        </w:trPr>
        <w:tc>
          <w:tcPr>
            <w:tcW w:w="0" w:type="auto"/>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6D052478" w14:textId="2B33660B" w:rsidR="00841D1E" w:rsidRPr="00DB61C2" w:rsidRDefault="00841D1E" w:rsidP="00841D1E">
            <w:pPr>
              <w:spacing w:after="120" w:line="240" w:lineRule="auto"/>
              <w:rPr>
                <w:rFonts w:eastAsia="Times New Roman" w:cstheme="minorHAnsi"/>
                <w:i/>
                <w:iCs/>
              </w:rPr>
            </w:pPr>
            <w:r w:rsidRPr="00DB61C2">
              <w:rPr>
                <w:i/>
              </w:rPr>
              <w:t>Recurring operating margin</w:t>
            </w:r>
          </w:p>
        </w:tc>
        <w:tc>
          <w:tcPr>
            <w:tcW w:w="1462"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7954FF9C" w14:textId="5F129F12" w:rsidR="00841D1E" w:rsidRPr="00DB61C2" w:rsidRDefault="00841D1E" w:rsidP="00841D1E">
            <w:pPr>
              <w:spacing w:after="120" w:line="240" w:lineRule="auto"/>
              <w:jc w:val="right"/>
              <w:rPr>
                <w:rFonts w:eastAsia="Times New Roman" w:cstheme="minorHAnsi"/>
                <w:i/>
                <w:iCs/>
              </w:rPr>
            </w:pPr>
            <w:r w:rsidRPr="00DB61C2">
              <w:rPr>
                <w:i/>
                <w:lang w:eastAsia="fr-FR" w:bidi="te-IN"/>
              </w:rPr>
              <w:t>8.6%</w:t>
            </w:r>
          </w:p>
        </w:tc>
        <w:tc>
          <w:tcPr>
            <w:tcW w:w="1736"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4CDEF2CA" w14:textId="25CC09D3" w:rsidR="00841D1E" w:rsidRPr="00DB61C2" w:rsidRDefault="00841D1E" w:rsidP="00841D1E">
            <w:pPr>
              <w:spacing w:after="120" w:line="240" w:lineRule="auto"/>
              <w:jc w:val="right"/>
              <w:rPr>
                <w:rFonts w:eastAsia="Times New Roman" w:cstheme="minorHAnsi"/>
                <w:i/>
                <w:iCs/>
                <w:color w:val="008F8F"/>
              </w:rPr>
            </w:pPr>
            <w:r w:rsidRPr="00DB61C2">
              <w:rPr>
                <w:i/>
                <w:color w:val="008F8F"/>
                <w:lang w:eastAsia="fr-FR" w:bidi="te-IN"/>
              </w:rPr>
              <w:t>8.3%</w:t>
            </w:r>
          </w:p>
        </w:tc>
        <w:tc>
          <w:tcPr>
            <w:tcW w:w="1730"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2015179C" w14:textId="77777777" w:rsidR="00841D1E" w:rsidRPr="00DB61C2" w:rsidRDefault="00841D1E" w:rsidP="00841D1E">
            <w:pPr>
              <w:spacing w:after="120" w:line="240" w:lineRule="auto"/>
              <w:jc w:val="right"/>
              <w:rPr>
                <w:rFonts w:eastAsia="Times New Roman" w:cstheme="minorHAnsi"/>
                <w:i/>
                <w:iCs/>
                <w:lang w:eastAsia="fr-FR" w:bidi="te-IN"/>
              </w:rPr>
            </w:pPr>
          </w:p>
        </w:tc>
      </w:tr>
      <w:tr w:rsidR="00841D1E" w:rsidRPr="00DB61C2" w14:paraId="6DDFFECD" w14:textId="77777777" w:rsidTr="00841D1E">
        <w:trPr>
          <w:trHeight w:val="435"/>
        </w:trPr>
        <w:tc>
          <w:tcPr>
            <w:tcW w:w="0" w:type="auto"/>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5E55735E" w14:textId="77CE5768" w:rsidR="00841D1E" w:rsidRPr="00DB61C2" w:rsidRDefault="00841D1E" w:rsidP="00841D1E">
            <w:pPr>
              <w:spacing w:after="120" w:line="240" w:lineRule="auto"/>
              <w:rPr>
                <w:rFonts w:eastAsia="Times New Roman" w:cstheme="minorHAnsi"/>
              </w:rPr>
            </w:pPr>
            <w:r w:rsidRPr="00DB61C2">
              <w:t>Operating profit</w:t>
            </w:r>
          </w:p>
        </w:tc>
        <w:tc>
          <w:tcPr>
            <w:tcW w:w="1462"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0F37D1AA" w14:textId="4457503D" w:rsidR="00841D1E" w:rsidRPr="00DB61C2" w:rsidRDefault="00841D1E" w:rsidP="00841D1E">
            <w:pPr>
              <w:spacing w:after="120" w:line="240" w:lineRule="auto"/>
              <w:jc w:val="right"/>
              <w:rPr>
                <w:rFonts w:eastAsia="Times New Roman" w:cstheme="minorHAnsi"/>
              </w:rPr>
            </w:pPr>
            <w:r w:rsidRPr="00DB61C2">
              <w:rPr>
                <w:lang w:eastAsia="fr-FR" w:bidi="te-IN"/>
              </w:rPr>
              <w:t>18.9</w:t>
            </w:r>
          </w:p>
        </w:tc>
        <w:tc>
          <w:tcPr>
            <w:tcW w:w="1736"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6B732B8A" w14:textId="19E9C837" w:rsidR="00841D1E" w:rsidRPr="00DB61C2" w:rsidRDefault="00841D1E" w:rsidP="00841D1E">
            <w:pPr>
              <w:spacing w:after="120" w:line="240" w:lineRule="auto"/>
              <w:jc w:val="right"/>
              <w:rPr>
                <w:rFonts w:eastAsia="Times New Roman" w:cstheme="minorHAnsi"/>
                <w:color w:val="008F8F"/>
              </w:rPr>
            </w:pPr>
            <w:r w:rsidRPr="00DB61C2">
              <w:rPr>
                <w:color w:val="008F8F"/>
                <w:lang w:eastAsia="fr-FR" w:bidi="te-IN"/>
              </w:rPr>
              <w:t>20.7</w:t>
            </w:r>
          </w:p>
        </w:tc>
        <w:tc>
          <w:tcPr>
            <w:tcW w:w="1730"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3C5A4398" w14:textId="0D34FFAF" w:rsidR="00841D1E" w:rsidRPr="00DB61C2" w:rsidRDefault="00841D1E" w:rsidP="00841D1E">
            <w:pPr>
              <w:spacing w:after="120" w:line="240" w:lineRule="auto"/>
              <w:jc w:val="right"/>
              <w:rPr>
                <w:rFonts w:eastAsia="Times New Roman" w:cstheme="minorHAnsi"/>
                <w:i/>
                <w:iCs/>
              </w:rPr>
            </w:pPr>
            <w:r w:rsidRPr="00DB61C2">
              <w:rPr>
                <w:i/>
                <w:lang w:eastAsia="fr-FR" w:bidi="te-IN"/>
              </w:rPr>
              <w:t>+9.5%</w:t>
            </w:r>
          </w:p>
        </w:tc>
      </w:tr>
      <w:tr w:rsidR="00841D1E" w:rsidRPr="00DB61C2" w14:paraId="15D907BA" w14:textId="77777777" w:rsidTr="00841D1E">
        <w:trPr>
          <w:trHeight w:val="435"/>
        </w:trPr>
        <w:tc>
          <w:tcPr>
            <w:tcW w:w="0" w:type="auto"/>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6F2DD826" w14:textId="35D4E395" w:rsidR="00841D1E" w:rsidRPr="00DB61C2" w:rsidRDefault="00841D1E" w:rsidP="00841D1E">
            <w:pPr>
              <w:spacing w:after="120" w:line="240" w:lineRule="auto"/>
            </w:pPr>
            <w:r w:rsidRPr="00DB61C2">
              <w:t>Financial result</w:t>
            </w:r>
          </w:p>
        </w:tc>
        <w:tc>
          <w:tcPr>
            <w:tcW w:w="1462"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4CCA1BFF" w14:textId="03E8ECD9" w:rsidR="00841D1E" w:rsidRPr="00DB61C2" w:rsidRDefault="00841D1E" w:rsidP="00841D1E">
            <w:pPr>
              <w:spacing w:after="120" w:line="240" w:lineRule="auto"/>
              <w:jc w:val="right"/>
            </w:pPr>
            <w:r w:rsidRPr="00DB61C2">
              <w:rPr>
                <w:lang w:eastAsia="fr-FR" w:bidi="te-IN"/>
              </w:rPr>
              <w:t>-6.9</w:t>
            </w:r>
          </w:p>
        </w:tc>
        <w:tc>
          <w:tcPr>
            <w:tcW w:w="1736"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00A0D896" w14:textId="3B19DC9C" w:rsidR="00841D1E" w:rsidRPr="00DB61C2" w:rsidRDefault="00841D1E" w:rsidP="00841D1E">
            <w:pPr>
              <w:spacing w:after="120" w:line="240" w:lineRule="auto"/>
              <w:jc w:val="right"/>
              <w:rPr>
                <w:color w:val="008F8F"/>
              </w:rPr>
            </w:pPr>
            <w:r w:rsidRPr="00DB61C2">
              <w:rPr>
                <w:color w:val="008F8F"/>
                <w:lang w:eastAsia="fr-FR" w:bidi="te-IN"/>
              </w:rPr>
              <w:t>-11.9</w:t>
            </w:r>
          </w:p>
        </w:tc>
        <w:tc>
          <w:tcPr>
            <w:tcW w:w="1730"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35A1A8E4" w14:textId="77777777" w:rsidR="00841D1E" w:rsidRPr="00DB61C2" w:rsidRDefault="00841D1E" w:rsidP="00841D1E">
            <w:pPr>
              <w:spacing w:after="120" w:line="240" w:lineRule="auto"/>
              <w:jc w:val="right"/>
              <w:rPr>
                <w:i/>
              </w:rPr>
            </w:pPr>
          </w:p>
        </w:tc>
      </w:tr>
      <w:tr w:rsidR="00841D1E" w:rsidRPr="00DB61C2" w14:paraId="64B58A00" w14:textId="77777777" w:rsidTr="00841D1E">
        <w:trPr>
          <w:trHeight w:val="435"/>
        </w:trPr>
        <w:tc>
          <w:tcPr>
            <w:tcW w:w="0" w:type="auto"/>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726B5F9C" w14:textId="3BA0BD04" w:rsidR="00841D1E" w:rsidRPr="00DB61C2" w:rsidRDefault="00841D1E" w:rsidP="00841D1E">
            <w:pPr>
              <w:spacing w:after="120" w:line="240" w:lineRule="auto"/>
            </w:pPr>
            <w:r w:rsidRPr="00DB61C2">
              <w:t>Taxes</w:t>
            </w:r>
          </w:p>
        </w:tc>
        <w:tc>
          <w:tcPr>
            <w:tcW w:w="1462"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1C3FD4D1" w14:textId="4E96F97D" w:rsidR="00841D1E" w:rsidRPr="00DB61C2" w:rsidRDefault="00841D1E" w:rsidP="00841D1E">
            <w:pPr>
              <w:spacing w:after="120" w:line="240" w:lineRule="auto"/>
              <w:jc w:val="right"/>
            </w:pPr>
            <w:r w:rsidRPr="00DB61C2">
              <w:rPr>
                <w:lang w:eastAsia="fr-FR" w:bidi="te-IN"/>
              </w:rPr>
              <w:t>-3.7</w:t>
            </w:r>
          </w:p>
        </w:tc>
        <w:tc>
          <w:tcPr>
            <w:tcW w:w="1736"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57D41431" w14:textId="7A8B222A" w:rsidR="00841D1E" w:rsidRPr="00DB61C2" w:rsidRDefault="00841D1E" w:rsidP="00841D1E">
            <w:pPr>
              <w:spacing w:after="120" w:line="240" w:lineRule="auto"/>
              <w:jc w:val="right"/>
              <w:rPr>
                <w:color w:val="008F8F"/>
              </w:rPr>
            </w:pPr>
            <w:r w:rsidRPr="00DB61C2">
              <w:rPr>
                <w:color w:val="008F8F"/>
                <w:lang w:eastAsia="fr-FR" w:bidi="te-IN"/>
              </w:rPr>
              <w:t>-5.1</w:t>
            </w:r>
          </w:p>
        </w:tc>
        <w:tc>
          <w:tcPr>
            <w:tcW w:w="1730"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7E177377" w14:textId="77777777" w:rsidR="00841D1E" w:rsidRPr="00DB61C2" w:rsidRDefault="00841D1E" w:rsidP="00841D1E">
            <w:pPr>
              <w:spacing w:after="120" w:line="240" w:lineRule="auto"/>
              <w:jc w:val="right"/>
              <w:rPr>
                <w:i/>
              </w:rPr>
            </w:pPr>
          </w:p>
        </w:tc>
      </w:tr>
      <w:tr w:rsidR="00841D1E" w:rsidRPr="00DB61C2" w14:paraId="357688A6" w14:textId="77777777" w:rsidTr="00841D1E">
        <w:trPr>
          <w:trHeight w:val="435"/>
        </w:trPr>
        <w:tc>
          <w:tcPr>
            <w:tcW w:w="0" w:type="auto"/>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6AE82388" w14:textId="2947CF42" w:rsidR="00841D1E" w:rsidRPr="00DB61C2" w:rsidRDefault="00841D1E" w:rsidP="00841D1E">
            <w:pPr>
              <w:spacing w:after="120" w:line="240" w:lineRule="auto"/>
              <w:rPr>
                <w:rFonts w:eastAsia="Times New Roman" w:cstheme="minorHAnsi"/>
                <w:b/>
                <w:bCs/>
              </w:rPr>
            </w:pPr>
            <w:r w:rsidRPr="00DB61C2">
              <w:rPr>
                <w:b/>
              </w:rPr>
              <w:t>Net profit from continuing operations</w:t>
            </w:r>
          </w:p>
        </w:tc>
        <w:tc>
          <w:tcPr>
            <w:tcW w:w="1462"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66A81B9B" w14:textId="18CC76C0" w:rsidR="00841D1E" w:rsidRPr="00DB61C2" w:rsidRDefault="00841D1E" w:rsidP="00841D1E">
            <w:pPr>
              <w:spacing w:after="120" w:line="240" w:lineRule="auto"/>
              <w:jc w:val="right"/>
              <w:rPr>
                <w:rFonts w:eastAsia="Times New Roman" w:cstheme="minorHAnsi"/>
                <w:b/>
                <w:bCs/>
              </w:rPr>
            </w:pPr>
            <w:r w:rsidRPr="00DB61C2">
              <w:rPr>
                <w:b/>
                <w:lang w:eastAsia="fr-FR" w:bidi="te-IN"/>
              </w:rPr>
              <w:t>8.3</w:t>
            </w:r>
          </w:p>
        </w:tc>
        <w:tc>
          <w:tcPr>
            <w:tcW w:w="1736"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5A37E53F" w14:textId="1A1C22E4" w:rsidR="00841D1E" w:rsidRPr="00DB61C2" w:rsidRDefault="00841D1E" w:rsidP="00841D1E">
            <w:pPr>
              <w:spacing w:after="120" w:line="240" w:lineRule="auto"/>
              <w:jc w:val="right"/>
              <w:rPr>
                <w:rFonts w:eastAsia="Times New Roman" w:cstheme="minorHAnsi"/>
                <w:b/>
                <w:bCs/>
                <w:color w:val="008F8F"/>
              </w:rPr>
            </w:pPr>
            <w:r w:rsidRPr="00DB61C2">
              <w:rPr>
                <w:b/>
                <w:color w:val="008F8F"/>
                <w:lang w:eastAsia="fr-FR" w:bidi="te-IN"/>
              </w:rPr>
              <w:t>3.6</w:t>
            </w:r>
          </w:p>
        </w:tc>
        <w:tc>
          <w:tcPr>
            <w:tcW w:w="1730"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2D6276DB" w14:textId="7F6572B6" w:rsidR="00841D1E" w:rsidRPr="00DB61C2" w:rsidRDefault="00841D1E" w:rsidP="00841D1E">
            <w:pPr>
              <w:spacing w:after="120" w:line="240" w:lineRule="auto"/>
              <w:jc w:val="right"/>
              <w:rPr>
                <w:rFonts w:eastAsia="Times New Roman" w:cstheme="minorHAnsi"/>
                <w:i/>
                <w:iCs/>
              </w:rPr>
            </w:pPr>
            <w:r w:rsidRPr="00DB61C2">
              <w:rPr>
                <w:b/>
                <w:i/>
                <w:lang w:eastAsia="fr-FR" w:bidi="te-IN"/>
              </w:rPr>
              <w:t>-56.6%</w:t>
            </w:r>
          </w:p>
        </w:tc>
      </w:tr>
      <w:tr w:rsidR="00841D1E" w:rsidRPr="00DB61C2" w14:paraId="316456A5" w14:textId="77777777" w:rsidTr="00841D1E">
        <w:trPr>
          <w:trHeight w:val="435"/>
        </w:trPr>
        <w:tc>
          <w:tcPr>
            <w:tcW w:w="0" w:type="auto"/>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4D5F963D" w14:textId="53C9B309" w:rsidR="00841D1E" w:rsidRPr="00DB61C2" w:rsidRDefault="00841D1E" w:rsidP="00841D1E">
            <w:pPr>
              <w:spacing w:after="120" w:line="240" w:lineRule="auto"/>
              <w:rPr>
                <w:rFonts w:eastAsia="Times New Roman" w:cstheme="minorHAnsi"/>
                <w:b/>
                <w:bCs/>
              </w:rPr>
            </w:pPr>
            <w:r w:rsidRPr="00DB61C2">
              <w:rPr>
                <w:b/>
              </w:rPr>
              <w:t>Net loss from discontinued operations</w:t>
            </w:r>
          </w:p>
        </w:tc>
        <w:tc>
          <w:tcPr>
            <w:tcW w:w="1462"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671375B4" w14:textId="18164E7C" w:rsidR="00841D1E" w:rsidRPr="00DB61C2" w:rsidRDefault="00841D1E" w:rsidP="00841D1E">
            <w:pPr>
              <w:spacing w:after="120" w:line="240" w:lineRule="auto"/>
              <w:jc w:val="right"/>
              <w:rPr>
                <w:rFonts w:eastAsia="Times New Roman" w:cstheme="minorHAnsi"/>
                <w:b/>
                <w:bCs/>
              </w:rPr>
            </w:pPr>
            <w:r w:rsidRPr="00DB61C2">
              <w:rPr>
                <w:b/>
                <w:lang w:eastAsia="fr-FR" w:bidi="te-IN"/>
              </w:rPr>
              <w:t>-5.7</w:t>
            </w:r>
          </w:p>
        </w:tc>
        <w:tc>
          <w:tcPr>
            <w:tcW w:w="1736"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70976888" w14:textId="16EFCFB9" w:rsidR="00841D1E" w:rsidRPr="00DB61C2" w:rsidRDefault="00841D1E" w:rsidP="00841D1E">
            <w:pPr>
              <w:spacing w:after="120" w:line="240" w:lineRule="auto"/>
              <w:jc w:val="right"/>
              <w:rPr>
                <w:rFonts w:eastAsia="Times New Roman" w:cstheme="minorHAnsi"/>
                <w:b/>
                <w:bCs/>
                <w:color w:val="008F8F"/>
              </w:rPr>
            </w:pPr>
            <w:r w:rsidRPr="00DB61C2">
              <w:rPr>
                <w:b/>
                <w:color w:val="008F8F"/>
                <w:lang w:eastAsia="fr-FR" w:bidi="te-IN"/>
              </w:rPr>
              <w:t>-1.2</w:t>
            </w:r>
          </w:p>
        </w:tc>
        <w:tc>
          <w:tcPr>
            <w:tcW w:w="1730"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7B922A0E" w14:textId="77777777" w:rsidR="00841D1E" w:rsidRPr="00DB61C2" w:rsidRDefault="00841D1E" w:rsidP="00841D1E">
            <w:pPr>
              <w:spacing w:after="120" w:line="240" w:lineRule="auto"/>
              <w:jc w:val="right"/>
              <w:rPr>
                <w:rFonts w:eastAsia="Times New Roman" w:cstheme="minorHAnsi"/>
                <w:i/>
                <w:iCs/>
                <w:lang w:eastAsia="fr-FR" w:bidi="te-IN"/>
              </w:rPr>
            </w:pPr>
          </w:p>
        </w:tc>
      </w:tr>
      <w:tr w:rsidR="00841D1E" w:rsidRPr="00DB61C2" w14:paraId="5C19AD5C" w14:textId="77777777" w:rsidTr="00841D1E">
        <w:trPr>
          <w:trHeight w:val="435"/>
        </w:trPr>
        <w:tc>
          <w:tcPr>
            <w:tcW w:w="0" w:type="auto"/>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4C523CEA" w14:textId="28ABBD28" w:rsidR="00841D1E" w:rsidRPr="00DB61C2" w:rsidRDefault="00841D1E" w:rsidP="00841D1E">
            <w:pPr>
              <w:spacing w:after="120" w:line="240" w:lineRule="auto"/>
              <w:rPr>
                <w:rFonts w:eastAsia="Times New Roman" w:cstheme="minorHAnsi"/>
                <w:b/>
                <w:bCs/>
              </w:rPr>
            </w:pPr>
            <w:r w:rsidRPr="00DB61C2">
              <w:rPr>
                <w:b/>
              </w:rPr>
              <w:t>Net profit, Group share</w:t>
            </w:r>
          </w:p>
        </w:tc>
        <w:tc>
          <w:tcPr>
            <w:tcW w:w="1462"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09F7A7DD" w14:textId="2F1337A9" w:rsidR="00841D1E" w:rsidRPr="00DB61C2" w:rsidRDefault="00841D1E" w:rsidP="00841D1E">
            <w:pPr>
              <w:spacing w:after="120" w:line="240" w:lineRule="auto"/>
              <w:jc w:val="right"/>
              <w:rPr>
                <w:rFonts w:eastAsia="Times New Roman" w:cstheme="minorHAnsi"/>
                <w:b/>
                <w:bCs/>
              </w:rPr>
            </w:pPr>
            <w:r w:rsidRPr="00DB61C2">
              <w:rPr>
                <w:b/>
                <w:lang w:eastAsia="fr-FR" w:bidi="te-IN"/>
              </w:rPr>
              <w:t>2.6</w:t>
            </w:r>
          </w:p>
        </w:tc>
        <w:tc>
          <w:tcPr>
            <w:tcW w:w="1736"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7CEF8E5E" w14:textId="772EB76D" w:rsidR="00841D1E" w:rsidRPr="00DB61C2" w:rsidRDefault="00841D1E" w:rsidP="00841D1E">
            <w:pPr>
              <w:spacing w:after="120" w:line="240" w:lineRule="auto"/>
              <w:jc w:val="right"/>
              <w:rPr>
                <w:rFonts w:eastAsia="Times New Roman" w:cstheme="minorHAnsi"/>
                <w:b/>
                <w:bCs/>
                <w:color w:val="008F8F"/>
              </w:rPr>
            </w:pPr>
            <w:r w:rsidRPr="00DB61C2">
              <w:rPr>
                <w:b/>
                <w:color w:val="008F8F"/>
                <w:lang w:eastAsia="fr-FR" w:bidi="te-IN"/>
              </w:rPr>
              <w:t>2.4</w:t>
            </w:r>
          </w:p>
        </w:tc>
        <w:tc>
          <w:tcPr>
            <w:tcW w:w="1730"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0D359820" w14:textId="6A9646A3" w:rsidR="00841D1E" w:rsidRPr="00DB61C2" w:rsidRDefault="00841D1E" w:rsidP="00841D1E">
            <w:pPr>
              <w:spacing w:after="120" w:line="240" w:lineRule="auto"/>
              <w:jc w:val="right"/>
              <w:rPr>
                <w:rFonts w:eastAsia="Times New Roman" w:cstheme="minorHAnsi"/>
                <w:i/>
                <w:iCs/>
              </w:rPr>
            </w:pPr>
            <w:r w:rsidRPr="00DB61C2">
              <w:rPr>
                <w:b/>
                <w:i/>
                <w:lang w:eastAsia="fr-FR" w:bidi="te-IN"/>
              </w:rPr>
              <w:t>-7.7%</w:t>
            </w:r>
          </w:p>
        </w:tc>
      </w:tr>
    </w:tbl>
    <w:bookmarkEnd w:id="0"/>
    <w:p w14:paraId="1AA12240" w14:textId="77777777" w:rsidR="00841D1E" w:rsidRPr="006823E9" w:rsidRDefault="00841D1E" w:rsidP="00841D1E">
      <w:pPr>
        <w:spacing w:before="120" w:after="0" w:line="240" w:lineRule="auto"/>
        <w:jc w:val="both"/>
        <w:rPr>
          <w:rFonts w:ascii="Times New Roman" w:hAnsi="Times New Roman" w:cs="Times New Roman"/>
          <w:sz w:val="18"/>
          <w:szCs w:val="18"/>
        </w:rPr>
      </w:pPr>
      <w:r w:rsidRPr="006823E9">
        <w:rPr>
          <w:rFonts w:ascii="Times New Roman" w:hAnsi="Times New Roman"/>
          <w:sz w:val="18"/>
        </w:rPr>
        <w:t>* EBITDA: recurring operating income + net depreciation, amortization and provisions.</w:t>
      </w:r>
    </w:p>
    <w:p w14:paraId="32ABAA1F" w14:textId="77777777" w:rsidR="00841D1E" w:rsidRPr="006823E9" w:rsidRDefault="00841D1E" w:rsidP="00841D1E">
      <w:pPr>
        <w:spacing w:after="0" w:line="240" w:lineRule="auto"/>
        <w:jc w:val="both"/>
        <w:rPr>
          <w:rFonts w:eastAsia="Times New Roman" w:cstheme="minorHAnsi"/>
          <w:b/>
          <w:bCs/>
          <w:color w:val="008F8F"/>
          <w:sz w:val="24"/>
          <w:szCs w:val="24"/>
          <w:lang w:val="en-GB" w:eastAsia="fr-FR"/>
        </w:rPr>
      </w:pPr>
    </w:p>
    <w:p w14:paraId="7EAA3BED" w14:textId="77777777" w:rsidR="00841D1E" w:rsidRPr="006823E9" w:rsidRDefault="00841D1E" w:rsidP="00841D1E">
      <w:pPr>
        <w:spacing w:after="0" w:line="240" w:lineRule="auto"/>
        <w:jc w:val="both"/>
        <w:rPr>
          <w:rFonts w:eastAsia="Times New Roman" w:cstheme="minorHAnsi"/>
          <w:i/>
          <w:iCs/>
          <w:sz w:val="20"/>
          <w:szCs w:val="20"/>
        </w:rPr>
      </w:pPr>
      <w:bookmarkStart w:id="1" w:name="_Hlk130223654"/>
      <w:r w:rsidRPr="006823E9">
        <w:rPr>
          <w:i/>
          <w:sz w:val="20"/>
        </w:rPr>
        <w:t>Groupe Bastide’s 2023-2024 half-yearly consolidated financial statements have been reviewed by the Group’s Statutory Auditors and were approved by its Board of Directors on March 18, 2024. The half-yearly results presentation will be available on the Group's website from 2:30 pm on March 21, 2024 in the "Investors" section. The half-yearly financial report will be available on the www.bastide-groupe.fr website before March 31, 2024, and will be the subject of a press release.</w:t>
      </w:r>
    </w:p>
    <w:bookmarkEnd w:id="1"/>
    <w:p w14:paraId="63C9FD0A" w14:textId="77777777" w:rsidR="00841D1E" w:rsidRPr="006823E9" w:rsidRDefault="00841D1E" w:rsidP="00841D1E">
      <w:pPr>
        <w:spacing w:after="0" w:line="240" w:lineRule="auto"/>
        <w:jc w:val="both"/>
        <w:rPr>
          <w:rFonts w:eastAsia="Times New Roman" w:cstheme="minorHAnsi"/>
          <w:b/>
          <w:bCs/>
          <w:color w:val="008F8F"/>
          <w:sz w:val="23"/>
          <w:szCs w:val="23"/>
          <w:lang w:val="en-GB" w:eastAsia="fr-FR"/>
        </w:rPr>
      </w:pPr>
    </w:p>
    <w:p w14:paraId="56FD51E8" w14:textId="77777777" w:rsidR="00841D1E" w:rsidRPr="006823E9" w:rsidRDefault="00841D1E" w:rsidP="00841D1E">
      <w:pPr>
        <w:spacing w:after="0" w:line="240" w:lineRule="auto"/>
        <w:jc w:val="both"/>
        <w:rPr>
          <w:rFonts w:eastAsia="Times New Roman" w:cstheme="minorHAnsi"/>
          <w:b/>
          <w:bCs/>
          <w:color w:val="008F8F"/>
          <w:sz w:val="23"/>
          <w:szCs w:val="23"/>
        </w:rPr>
      </w:pPr>
      <w:r w:rsidRPr="006823E9">
        <w:rPr>
          <w:b/>
          <w:color w:val="008F8F"/>
          <w:sz w:val="23"/>
        </w:rPr>
        <w:t>Revenue up 6.1%</w:t>
      </w:r>
    </w:p>
    <w:p w14:paraId="4F3C12FD" w14:textId="77777777" w:rsidR="00841D1E" w:rsidRPr="006823E9" w:rsidRDefault="00841D1E" w:rsidP="00841D1E">
      <w:pPr>
        <w:spacing w:after="0" w:line="240" w:lineRule="auto"/>
        <w:jc w:val="both"/>
        <w:rPr>
          <w:rFonts w:eastAsia="Times New Roman" w:cstheme="minorHAnsi"/>
          <w:sz w:val="21"/>
          <w:szCs w:val="21"/>
          <w:lang w:val="en-GB" w:eastAsia="fr-FR"/>
        </w:rPr>
      </w:pPr>
    </w:p>
    <w:p w14:paraId="4EB1485B" w14:textId="77777777" w:rsidR="00841D1E" w:rsidRPr="006823E9" w:rsidRDefault="00841D1E" w:rsidP="00841D1E">
      <w:pPr>
        <w:spacing w:after="0" w:line="240" w:lineRule="auto"/>
        <w:jc w:val="both"/>
        <w:rPr>
          <w:rFonts w:eastAsia="Times New Roman" w:cstheme="minorHAnsi"/>
          <w:sz w:val="21"/>
          <w:szCs w:val="21"/>
        </w:rPr>
      </w:pPr>
      <w:r w:rsidRPr="006823E9">
        <w:rPr>
          <w:b/>
          <w:sz w:val="21"/>
        </w:rPr>
        <w:t>Groupe Bastide's activity remained dynamic in first-half 2023-2024, posting growth of 6.1%, of which 5.7% in organic terms alone</w:t>
      </w:r>
      <w:r w:rsidRPr="006823E9">
        <w:rPr>
          <w:rStyle w:val="Appelnotedebasdep"/>
          <w:rFonts w:eastAsia="Times New Roman" w:cstheme="minorHAnsi"/>
          <w:sz w:val="21"/>
          <w:szCs w:val="21"/>
          <w:lang w:eastAsia="fr-FR"/>
        </w:rPr>
        <w:footnoteReference w:id="1"/>
      </w:r>
      <w:r w:rsidRPr="006823E9">
        <w:rPr>
          <w:b/>
          <w:sz w:val="21"/>
        </w:rPr>
        <w:t>.</w:t>
      </w:r>
      <w:r w:rsidRPr="006823E9">
        <w:rPr>
          <w:sz w:val="21"/>
        </w:rPr>
        <w:t xml:space="preserve"> Revenue for the period amounted to €265.0 million.</w:t>
      </w:r>
    </w:p>
    <w:p w14:paraId="023199BD" w14:textId="77777777" w:rsidR="00841D1E" w:rsidRPr="006823E9" w:rsidRDefault="00841D1E" w:rsidP="00841D1E">
      <w:pPr>
        <w:spacing w:after="0" w:line="240" w:lineRule="auto"/>
        <w:jc w:val="both"/>
        <w:rPr>
          <w:rFonts w:eastAsia="Times New Roman" w:cstheme="minorHAnsi"/>
          <w:sz w:val="21"/>
          <w:szCs w:val="21"/>
          <w:lang w:val="en-GB" w:eastAsia="fr-FR"/>
        </w:rPr>
      </w:pPr>
    </w:p>
    <w:p w14:paraId="43E3907F" w14:textId="77777777" w:rsidR="00841D1E" w:rsidRPr="006823E9" w:rsidRDefault="00841D1E" w:rsidP="00841D1E">
      <w:pPr>
        <w:spacing w:after="0" w:line="240" w:lineRule="auto"/>
        <w:jc w:val="both"/>
        <w:rPr>
          <w:rFonts w:eastAsia="Times New Roman" w:cstheme="minorHAnsi"/>
          <w:sz w:val="21"/>
          <w:szCs w:val="21"/>
        </w:rPr>
      </w:pPr>
      <w:r w:rsidRPr="006823E9">
        <w:rPr>
          <w:sz w:val="21"/>
        </w:rPr>
        <w:lastRenderedPageBreak/>
        <w:t>The more technical business activities (Respiratory, Nutrition-Perfusion-</w:t>
      </w:r>
      <w:proofErr w:type="spellStart"/>
      <w:r w:rsidRPr="006823E9">
        <w:rPr>
          <w:sz w:val="21"/>
        </w:rPr>
        <w:t>Stomatherapy</w:t>
      </w:r>
      <w:proofErr w:type="spellEnd"/>
      <w:r w:rsidRPr="006823E9">
        <w:rPr>
          <w:sz w:val="21"/>
        </w:rPr>
        <w:t xml:space="preserve">) maintained strong momentum and recorded revenue of €158.8 million, up 12.2% (up 10.5% on an organic basis). These strategic activities are driving the Group's growth, and now account for 60% of total revenue. </w:t>
      </w:r>
    </w:p>
    <w:p w14:paraId="0C2B31C2" w14:textId="77777777" w:rsidR="00841D1E" w:rsidRPr="006823E9" w:rsidRDefault="00841D1E" w:rsidP="00841D1E">
      <w:pPr>
        <w:spacing w:after="0" w:line="240" w:lineRule="auto"/>
        <w:jc w:val="both"/>
        <w:rPr>
          <w:rFonts w:eastAsia="Times New Roman" w:cstheme="minorHAnsi"/>
          <w:sz w:val="21"/>
          <w:szCs w:val="21"/>
          <w:lang w:val="en-GB" w:eastAsia="fr-FR"/>
        </w:rPr>
      </w:pPr>
    </w:p>
    <w:p w14:paraId="70208CE1" w14:textId="28F08CBC" w:rsidR="00841D1E" w:rsidRPr="006823E9" w:rsidRDefault="00841D1E" w:rsidP="00841D1E">
      <w:pPr>
        <w:spacing w:after="0" w:line="240" w:lineRule="auto"/>
        <w:jc w:val="both"/>
        <w:rPr>
          <w:rFonts w:eastAsia="Times New Roman" w:cstheme="minorHAnsi"/>
          <w:sz w:val="21"/>
          <w:szCs w:val="21"/>
        </w:rPr>
      </w:pPr>
      <w:r w:rsidRPr="006823E9">
        <w:rPr>
          <w:sz w:val="21"/>
        </w:rPr>
        <w:t>The “Homecare” business came in at €106.2 million, down 0.6% on an organic basis (down 1.6% on a reported basis). While sales continue to be impacted by the inflationary context, rental activities remain solid, posting revenue of €38.1 million, up 4.5% for the period.</w:t>
      </w:r>
    </w:p>
    <w:p w14:paraId="2BC996CA" w14:textId="77777777" w:rsidR="00841D1E" w:rsidRPr="006823E9" w:rsidRDefault="00841D1E" w:rsidP="00841D1E">
      <w:pPr>
        <w:spacing w:after="0"/>
        <w:jc w:val="both"/>
        <w:rPr>
          <w:lang w:val="en-GB"/>
        </w:rPr>
      </w:pPr>
    </w:p>
    <w:p w14:paraId="6FAA9161" w14:textId="77777777" w:rsidR="00841D1E" w:rsidRPr="006823E9" w:rsidRDefault="00841D1E" w:rsidP="00841D1E">
      <w:pPr>
        <w:spacing w:after="0"/>
        <w:jc w:val="both"/>
        <w:rPr>
          <w:rFonts w:eastAsia="Times New Roman" w:cstheme="minorHAnsi"/>
          <w:sz w:val="21"/>
          <w:szCs w:val="21"/>
        </w:rPr>
      </w:pPr>
      <w:r w:rsidRPr="006823E9">
        <w:rPr>
          <w:sz w:val="21"/>
        </w:rPr>
        <w:t>International business accounted for almost 18% of revenue over the half-year.</w:t>
      </w:r>
    </w:p>
    <w:p w14:paraId="7D9839CF" w14:textId="77777777" w:rsidR="00841D1E" w:rsidRPr="006823E9" w:rsidRDefault="00841D1E" w:rsidP="00841D1E">
      <w:pPr>
        <w:spacing w:after="0"/>
        <w:jc w:val="both"/>
        <w:rPr>
          <w:rFonts w:eastAsia="Times New Roman" w:cstheme="minorHAnsi"/>
          <w:b/>
          <w:bCs/>
          <w:color w:val="008F8F"/>
          <w:sz w:val="24"/>
          <w:szCs w:val="24"/>
          <w:lang w:val="en-GB" w:eastAsia="fr-FR"/>
        </w:rPr>
      </w:pPr>
    </w:p>
    <w:p w14:paraId="53EEB8E7" w14:textId="2F53CAE9" w:rsidR="00841D1E" w:rsidRPr="006823E9" w:rsidRDefault="00841D1E" w:rsidP="00841D1E">
      <w:pPr>
        <w:spacing w:after="0"/>
        <w:jc w:val="both"/>
        <w:rPr>
          <w:rFonts w:eastAsia="Times New Roman" w:cstheme="minorHAnsi"/>
          <w:b/>
          <w:bCs/>
          <w:color w:val="008F8F"/>
          <w:sz w:val="24"/>
          <w:szCs w:val="24"/>
        </w:rPr>
      </w:pPr>
      <w:r w:rsidRPr="006823E9">
        <w:rPr>
          <w:b/>
          <w:color w:val="008F8F"/>
          <w:sz w:val="24"/>
        </w:rPr>
        <w:t xml:space="preserve">Increase in recurring operating profit despite the inflationary context </w:t>
      </w:r>
    </w:p>
    <w:p w14:paraId="083855C1" w14:textId="77777777" w:rsidR="00841D1E" w:rsidRPr="006823E9" w:rsidRDefault="00841D1E" w:rsidP="00841D1E">
      <w:pPr>
        <w:spacing w:after="0" w:line="240" w:lineRule="auto"/>
        <w:jc w:val="both"/>
        <w:rPr>
          <w:rFonts w:eastAsia="Times New Roman" w:cstheme="minorHAnsi"/>
          <w:lang w:val="en-GB" w:eastAsia="fr-FR"/>
        </w:rPr>
      </w:pPr>
    </w:p>
    <w:p w14:paraId="743E8CCD" w14:textId="0B33B2D8" w:rsidR="00841D1E" w:rsidRPr="006823E9" w:rsidRDefault="00841D1E" w:rsidP="00841D1E">
      <w:pPr>
        <w:spacing w:after="0" w:line="240" w:lineRule="auto"/>
        <w:jc w:val="both"/>
        <w:rPr>
          <w:rFonts w:eastAsia="Times New Roman" w:cstheme="minorHAnsi"/>
        </w:rPr>
      </w:pPr>
      <w:r w:rsidRPr="006823E9">
        <w:t xml:space="preserve">Over the half-year, </w:t>
      </w:r>
      <w:r w:rsidR="006823E9">
        <w:t xml:space="preserve">in an inflationary context, </w:t>
      </w:r>
      <w:r w:rsidRPr="006823E9">
        <w:t xml:space="preserve">the shift in the product mix – following Groupe Bastide's strategic decision to develop its more technical business activities – led to a significant improvement in </w:t>
      </w:r>
      <w:r w:rsidRPr="006823E9">
        <w:rPr>
          <w:b/>
        </w:rPr>
        <w:t>the</w:t>
      </w:r>
      <w:r w:rsidRPr="006823E9">
        <w:t xml:space="preserve"> </w:t>
      </w:r>
      <w:r w:rsidRPr="006823E9">
        <w:rPr>
          <w:b/>
        </w:rPr>
        <w:t>Group's gross margin, which rose by 110 basis points to 67.2%.</w:t>
      </w:r>
      <w:r w:rsidRPr="006823E9">
        <w:t xml:space="preserve"> </w:t>
      </w:r>
    </w:p>
    <w:p w14:paraId="1EAC7D73" w14:textId="77777777" w:rsidR="00841D1E" w:rsidRPr="006823E9" w:rsidRDefault="00841D1E" w:rsidP="00841D1E">
      <w:pPr>
        <w:spacing w:after="0" w:line="240" w:lineRule="auto"/>
        <w:jc w:val="both"/>
        <w:rPr>
          <w:rFonts w:eastAsia="Times New Roman" w:cstheme="minorHAnsi"/>
          <w:lang w:val="en-GB" w:eastAsia="fr-FR"/>
        </w:rPr>
      </w:pPr>
    </w:p>
    <w:p w14:paraId="5A556AAF" w14:textId="7A7175B4" w:rsidR="00841D1E" w:rsidRPr="006823E9" w:rsidRDefault="00841D1E" w:rsidP="00841D1E">
      <w:pPr>
        <w:spacing w:after="0" w:line="240" w:lineRule="auto"/>
        <w:jc w:val="both"/>
      </w:pPr>
      <w:r w:rsidRPr="006823E9">
        <w:rPr>
          <w:b/>
        </w:rPr>
        <w:t>EBITDA rose by 7.5% to €53.6 million, representing an increased margin of 20.2%</w:t>
      </w:r>
      <w:r w:rsidR="006823E9">
        <w:rPr>
          <w:b/>
        </w:rPr>
        <w:t xml:space="preserve"> (up 20 basis points)</w:t>
      </w:r>
      <w:r w:rsidRPr="006823E9">
        <w:rPr>
          <w:b/>
        </w:rPr>
        <w:t>,</w:t>
      </w:r>
      <w:r w:rsidRPr="006823E9">
        <w:t xml:space="preserve"> despite the negative 150 basis point impact of payroll costs, due both to wage inflation and significant growth in home healthcare services.</w:t>
      </w:r>
    </w:p>
    <w:p w14:paraId="19EAA779" w14:textId="77777777" w:rsidR="00841D1E" w:rsidRPr="006823E9" w:rsidRDefault="00841D1E" w:rsidP="00841D1E">
      <w:pPr>
        <w:spacing w:after="0" w:line="240" w:lineRule="auto"/>
        <w:jc w:val="both"/>
        <w:rPr>
          <w:rFonts w:eastAsia="Times New Roman" w:cstheme="minorHAnsi"/>
          <w:lang w:eastAsia="fr-FR"/>
        </w:rPr>
      </w:pPr>
    </w:p>
    <w:p w14:paraId="5A279603" w14:textId="1AE735E3" w:rsidR="00841D1E" w:rsidRPr="006823E9" w:rsidRDefault="00841D1E" w:rsidP="00841D1E">
      <w:pPr>
        <w:spacing w:line="240" w:lineRule="auto"/>
        <w:jc w:val="both"/>
        <w:rPr>
          <w:rFonts w:eastAsia="Times New Roman" w:cstheme="minorHAnsi"/>
          <w:b/>
          <w:bCs/>
        </w:rPr>
      </w:pPr>
      <w:r w:rsidRPr="006823E9">
        <w:rPr>
          <w:b/>
        </w:rPr>
        <w:t>Recurring operating profit increased by 2.1% to €21.9 million, while</w:t>
      </w:r>
      <w:r w:rsidRPr="006823E9">
        <w:t xml:space="preserve"> </w:t>
      </w:r>
      <w:r w:rsidRPr="006823E9">
        <w:rPr>
          <w:b/>
        </w:rPr>
        <w:t>recurring operating margin came in at 8.3%,</w:t>
      </w:r>
      <w:r w:rsidRPr="006823E9">
        <w:t xml:space="preserve"> in line with the Group's strategic roadmap. </w:t>
      </w:r>
    </w:p>
    <w:p w14:paraId="3BB2CEC0" w14:textId="77777777" w:rsidR="00841D1E" w:rsidRPr="006823E9" w:rsidRDefault="00841D1E" w:rsidP="00841D1E">
      <w:pPr>
        <w:spacing w:after="0" w:line="240" w:lineRule="auto"/>
        <w:jc w:val="both"/>
        <w:rPr>
          <w:rFonts w:cstheme="minorHAnsi"/>
        </w:rPr>
      </w:pPr>
      <w:r w:rsidRPr="006823E9">
        <w:rPr>
          <w:b/>
        </w:rPr>
        <w:t>Operating profit rose by 9.5% to</w:t>
      </w:r>
      <w:r w:rsidRPr="006823E9">
        <w:t xml:space="preserve"> </w:t>
      </w:r>
      <w:r w:rsidRPr="006823E9">
        <w:rPr>
          <w:b/>
        </w:rPr>
        <w:t>€20.7 million</w:t>
      </w:r>
      <w:r w:rsidRPr="006823E9">
        <w:t>. Non-recurring expenses, were halved compared with the first half of 2022-2023, and include various extraordinary expenses such as restructuring costs of €0.4 million.</w:t>
      </w:r>
    </w:p>
    <w:p w14:paraId="55B27789" w14:textId="77777777" w:rsidR="00841D1E" w:rsidRPr="006823E9" w:rsidRDefault="00841D1E" w:rsidP="00841D1E">
      <w:pPr>
        <w:spacing w:after="0" w:line="240" w:lineRule="auto"/>
        <w:jc w:val="both"/>
        <w:rPr>
          <w:rFonts w:cstheme="minorHAnsi"/>
          <w:b/>
          <w:lang w:val="en-GB"/>
        </w:rPr>
      </w:pPr>
    </w:p>
    <w:p w14:paraId="3AA0B02A" w14:textId="2A170A57" w:rsidR="00841D1E" w:rsidRPr="006823E9" w:rsidRDefault="00841D1E" w:rsidP="00841D1E">
      <w:pPr>
        <w:spacing w:after="0" w:line="240" w:lineRule="auto"/>
        <w:jc w:val="both"/>
        <w:rPr>
          <w:rFonts w:cstheme="minorHAnsi"/>
        </w:rPr>
      </w:pPr>
      <w:r w:rsidRPr="006823E9">
        <w:t xml:space="preserve">Financial expenses came to €11.9 million (versus €6.9 million in first-half 2022-2023), </w:t>
      </w:r>
      <w:r w:rsidR="006823E9">
        <w:t xml:space="preserve">of which €1.1m related to IFRS 16, </w:t>
      </w:r>
      <w:r w:rsidRPr="006823E9">
        <w:t xml:space="preserve">due to the automatic impact of the increase in interest rates. The </w:t>
      </w:r>
      <w:r w:rsidR="006823E9">
        <w:t>cost of average</w:t>
      </w:r>
      <w:r w:rsidRPr="006823E9">
        <w:t xml:space="preserve"> debt came to </w:t>
      </w:r>
      <w:r w:rsidR="006823E9">
        <w:t>6.2</w:t>
      </w:r>
      <w:r w:rsidRPr="006823E9">
        <w:t xml:space="preserve">%. </w:t>
      </w:r>
    </w:p>
    <w:p w14:paraId="41931C97" w14:textId="77777777" w:rsidR="00841D1E" w:rsidRPr="006823E9" w:rsidRDefault="00841D1E" w:rsidP="00841D1E">
      <w:pPr>
        <w:spacing w:after="0" w:line="240" w:lineRule="auto"/>
        <w:jc w:val="both"/>
        <w:rPr>
          <w:rFonts w:cstheme="minorHAnsi"/>
          <w:lang w:val="en-GB"/>
        </w:rPr>
      </w:pPr>
    </w:p>
    <w:p w14:paraId="43BCA4D2" w14:textId="50751734" w:rsidR="00841D1E" w:rsidRPr="006823E9" w:rsidRDefault="00841D1E" w:rsidP="00841D1E">
      <w:pPr>
        <w:spacing w:after="0" w:line="240" w:lineRule="auto"/>
        <w:jc w:val="both"/>
        <w:rPr>
          <w:rFonts w:cstheme="minorHAnsi"/>
        </w:rPr>
      </w:pPr>
      <w:r w:rsidRPr="006823E9">
        <w:rPr>
          <w:b/>
        </w:rPr>
        <w:t>Net profit from continuing operations stood at €3.6 million</w:t>
      </w:r>
      <w:r w:rsidRPr="006823E9">
        <w:t>, after taking into account a</w:t>
      </w:r>
      <w:r w:rsidRPr="006823E9">
        <w:rPr>
          <w:b/>
        </w:rPr>
        <w:t xml:space="preserve"> </w:t>
      </w:r>
      <w:r w:rsidRPr="006823E9">
        <w:t>€5.1</w:t>
      </w:r>
      <w:r w:rsidR="00DB61C2" w:rsidRPr="006823E9">
        <w:t> </w:t>
      </w:r>
      <w:r w:rsidRPr="006823E9">
        <w:t>million tax expense.</w:t>
      </w:r>
    </w:p>
    <w:p w14:paraId="370BEF92" w14:textId="77777777" w:rsidR="00841D1E" w:rsidRPr="006823E9" w:rsidRDefault="00841D1E" w:rsidP="00841D1E">
      <w:pPr>
        <w:spacing w:after="0" w:line="240" w:lineRule="auto"/>
        <w:jc w:val="both"/>
        <w:rPr>
          <w:rFonts w:cstheme="minorHAnsi"/>
          <w:lang w:val="en-GB"/>
        </w:rPr>
      </w:pPr>
    </w:p>
    <w:p w14:paraId="5FF2815D" w14:textId="77777777" w:rsidR="00841D1E" w:rsidRPr="006823E9" w:rsidRDefault="00841D1E" w:rsidP="00841D1E">
      <w:pPr>
        <w:spacing w:after="0" w:line="240" w:lineRule="auto"/>
        <w:jc w:val="both"/>
        <w:rPr>
          <w:rFonts w:eastAsia="Times New Roman" w:cstheme="minorHAnsi"/>
        </w:rPr>
      </w:pPr>
      <w:r w:rsidRPr="006823E9">
        <w:t xml:space="preserve">Net loss from discontinued operations came in at €1.2 million for the half-year, due to the finalization of the </w:t>
      </w:r>
      <w:proofErr w:type="spellStart"/>
      <w:r w:rsidRPr="006823E9">
        <w:t>Livramedom</w:t>
      </w:r>
      <w:proofErr w:type="spellEnd"/>
      <w:r w:rsidRPr="006823E9">
        <w:t xml:space="preserve"> disposal. </w:t>
      </w:r>
    </w:p>
    <w:p w14:paraId="7559B801" w14:textId="77777777" w:rsidR="00841D1E" w:rsidRPr="006823E9" w:rsidRDefault="00841D1E" w:rsidP="00841D1E">
      <w:pPr>
        <w:spacing w:after="0"/>
        <w:jc w:val="both"/>
        <w:rPr>
          <w:rFonts w:eastAsia="Times New Roman" w:cstheme="minorHAnsi"/>
          <w:b/>
          <w:bCs/>
          <w:color w:val="008F8F"/>
          <w:sz w:val="24"/>
          <w:szCs w:val="24"/>
          <w:lang w:val="en-GB" w:eastAsia="fr-FR"/>
        </w:rPr>
      </w:pPr>
    </w:p>
    <w:p w14:paraId="0DF4FBCC" w14:textId="77777777" w:rsidR="00841D1E" w:rsidRPr="006823E9" w:rsidRDefault="00841D1E" w:rsidP="00841D1E">
      <w:pPr>
        <w:spacing w:after="0"/>
        <w:jc w:val="both"/>
        <w:rPr>
          <w:rFonts w:eastAsia="Times New Roman" w:cstheme="minorHAnsi"/>
          <w:b/>
          <w:bCs/>
          <w:color w:val="008F8F"/>
          <w:sz w:val="24"/>
          <w:szCs w:val="24"/>
        </w:rPr>
      </w:pPr>
      <w:r w:rsidRPr="006823E9">
        <w:rPr>
          <w:b/>
          <w:color w:val="008F8F"/>
          <w:sz w:val="24"/>
        </w:rPr>
        <w:t>Financial structure</w:t>
      </w:r>
    </w:p>
    <w:p w14:paraId="0A6C7749" w14:textId="77777777" w:rsidR="00841D1E" w:rsidRPr="00CF2AEC" w:rsidRDefault="00841D1E" w:rsidP="00841D1E">
      <w:pPr>
        <w:spacing w:after="0" w:line="240" w:lineRule="auto"/>
        <w:jc w:val="both"/>
        <w:rPr>
          <w:rFonts w:cstheme="minorHAnsi"/>
          <w:lang w:val="en-GB"/>
        </w:rPr>
      </w:pPr>
    </w:p>
    <w:p w14:paraId="7E28EB81" w14:textId="661F211D" w:rsidR="00841D1E" w:rsidRPr="006823E9" w:rsidRDefault="00841D1E" w:rsidP="00841D1E">
      <w:pPr>
        <w:spacing w:after="0" w:line="240" w:lineRule="auto"/>
        <w:jc w:val="both"/>
        <w:rPr>
          <w:rFonts w:cstheme="minorHAnsi"/>
          <w:sz w:val="21"/>
          <w:szCs w:val="21"/>
        </w:rPr>
      </w:pPr>
      <w:r w:rsidRPr="006823E9">
        <w:rPr>
          <w:b/>
          <w:sz w:val="21"/>
        </w:rPr>
        <w:t xml:space="preserve">Cash flow from operations came to €34.3 million, </w:t>
      </w:r>
      <w:r w:rsidRPr="006823E9">
        <w:rPr>
          <w:sz w:val="21"/>
        </w:rPr>
        <w:t>including an increase in working capital of around €10 million, largely due to non-recurring items, including the discontinuation of factoring in the community healthcare sector (€6 million) and a one-off delay in receivables (€2 million) which was resolved in January.</w:t>
      </w:r>
    </w:p>
    <w:p w14:paraId="02DFB8B7" w14:textId="77777777" w:rsidR="00841D1E" w:rsidRPr="006823E9" w:rsidRDefault="00841D1E" w:rsidP="00841D1E">
      <w:pPr>
        <w:spacing w:after="0" w:line="240" w:lineRule="auto"/>
        <w:jc w:val="both"/>
        <w:rPr>
          <w:rFonts w:cstheme="minorHAnsi"/>
          <w:sz w:val="21"/>
          <w:szCs w:val="21"/>
          <w:lang w:val="en-GB"/>
        </w:rPr>
      </w:pPr>
    </w:p>
    <w:p w14:paraId="5BBDF9E7" w14:textId="5B92BEEF" w:rsidR="00841D1E" w:rsidRPr="006823E9" w:rsidRDefault="00841D1E" w:rsidP="00841D1E">
      <w:pPr>
        <w:spacing w:after="0" w:line="240" w:lineRule="auto"/>
        <w:jc w:val="both"/>
        <w:rPr>
          <w:rFonts w:cstheme="minorHAnsi"/>
          <w:sz w:val="21"/>
          <w:szCs w:val="21"/>
        </w:rPr>
      </w:pPr>
      <w:r w:rsidRPr="006823E9">
        <w:rPr>
          <w:sz w:val="21"/>
        </w:rPr>
        <w:t xml:space="preserve">Net operating investments amounted to €25.7 million, or 9.7% of revenue, compared with 10.1% for first-half 2022-2023. This tight control over net operating investments is all the more remarkable in that it has been achieved against a backdrop of strong growth in the more capital-intensive rental business. Some 90% of these investments involve the purchase </w:t>
      </w:r>
      <w:r w:rsidR="00ED3679">
        <w:rPr>
          <w:sz w:val="21"/>
        </w:rPr>
        <w:t xml:space="preserve">of </w:t>
      </w:r>
      <w:r w:rsidRPr="006823E9">
        <w:rPr>
          <w:sz w:val="21"/>
        </w:rPr>
        <w:t>medical devices</w:t>
      </w:r>
      <w:r w:rsidR="006823E9">
        <w:rPr>
          <w:sz w:val="21"/>
        </w:rPr>
        <w:t xml:space="preserve"> for </w:t>
      </w:r>
      <w:r w:rsidR="00ED3679">
        <w:rPr>
          <w:sz w:val="21"/>
        </w:rPr>
        <w:t>new capacity or existing capacities to renew</w:t>
      </w:r>
      <w:r w:rsidRPr="006823E9">
        <w:rPr>
          <w:sz w:val="21"/>
        </w:rPr>
        <w:t>, which are then leased to the customer.</w:t>
      </w:r>
    </w:p>
    <w:p w14:paraId="22290051" w14:textId="77777777" w:rsidR="00841D1E" w:rsidRPr="006823E9" w:rsidRDefault="00841D1E" w:rsidP="00841D1E">
      <w:pPr>
        <w:spacing w:after="0" w:line="240" w:lineRule="auto"/>
        <w:jc w:val="both"/>
        <w:rPr>
          <w:rFonts w:cstheme="minorHAnsi"/>
          <w:sz w:val="21"/>
          <w:szCs w:val="21"/>
          <w:lang w:val="en-GB"/>
        </w:rPr>
      </w:pPr>
    </w:p>
    <w:p w14:paraId="19FDF566" w14:textId="45E3073B" w:rsidR="00841D1E" w:rsidRPr="006823E9" w:rsidRDefault="00841D1E" w:rsidP="00841D1E">
      <w:pPr>
        <w:spacing w:after="0" w:line="240" w:lineRule="auto"/>
        <w:jc w:val="both"/>
        <w:rPr>
          <w:rFonts w:cstheme="minorHAnsi"/>
          <w:b/>
          <w:bCs/>
          <w:sz w:val="21"/>
          <w:szCs w:val="21"/>
        </w:rPr>
      </w:pPr>
      <w:r w:rsidRPr="006823E9">
        <w:rPr>
          <w:b/>
          <w:sz w:val="21"/>
        </w:rPr>
        <w:lastRenderedPageBreak/>
        <w:t>Operating free cash flow</w:t>
      </w:r>
      <w:r w:rsidRPr="006823E9">
        <w:rPr>
          <w:sz w:val="21"/>
        </w:rPr>
        <w:t xml:space="preserve"> (cash flow from operations after cash flows related to acquisitions of property, plant &amp; equipment and intangible assets and after repayment of lease liabilities), came to a negative </w:t>
      </w:r>
      <w:r w:rsidRPr="006823E9">
        <w:rPr>
          <w:b/>
          <w:sz w:val="21"/>
        </w:rPr>
        <w:t>€2.2 million</w:t>
      </w:r>
      <w:r w:rsidRPr="006823E9">
        <w:rPr>
          <w:sz w:val="21"/>
        </w:rPr>
        <w:t>.</w:t>
      </w:r>
      <w:r w:rsidRPr="006823E9">
        <w:rPr>
          <w:b/>
          <w:sz w:val="21"/>
        </w:rPr>
        <w:t xml:space="preserve"> </w:t>
      </w:r>
      <w:r w:rsidR="00B00ACA" w:rsidRPr="006823E9">
        <w:rPr>
          <w:b/>
          <w:sz w:val="21"/>
        </w:rPr>
        <w:t>Operating free cash flow</w:t>
      </w:r>
      <w:r w:rsidR="00B00ACA" w:rsidRPr="006823E9">
        <w:rPr>
          <w:sz w:val="21"/>
        </w:rPr>
        <w:t xml:space="preserve"> </w:t>
      </w:r>
      <w:r w:rsidRPr="006823E9">
        <w:rPr>
          <w:b/>
          <w:sz w:val="21"/>
        </w:rPr>
        <w:t>was a positive €5.8 million, excluding non-recurring items</w:t>
      </w:r>
      <w:r w:rsidR="00B00ACA">
        <w:rPr>
          <w:b/>
          <w:sz w:val="21"/>
        </w:rPr>
        <w:t xml:space="preserve"> related to WCR</w:t>
      </w:r>
      <w:r w:rsidRPr="006823E9">
        <w:rPr>
          <w:b/>
          <w:sz w:val="21"/>
        </w:rPr>
        <w:t xml:space="preserve"> (discontinuation of factoring and delays in receivables).</w:t>
      </w:r>
    </w:p>
    <w:p w14:paraId="3EBC18F4" w14:textId="77777777" w:rsidR="00841D1E" w:rsidRPr="006823E9" w:rsidRDefault="00841D1E" w:rsidP="00841D1E">
      <w:pPr>
        <w:spacing w:after="0" w:line="240" w:lineRule="auto"/>
        <w:jc w:val="both"/>
        <w:rPr>
          <w:rFonts w:cstheme="minorHAnsi"/>
          <w:sz w:val="21"/>
          <w:szCs w:val="21"/>
          <w:lang w:val="en-GB"/>
        </w:rPr>
      </w:pPr>
    </w:p>
    <w:p w14:paraId="51162CBE" w14:textId="374C7C4A" w:rsidR="00841D1E" w:rsidRPr="006823E9" w:rsidRDefault="00841D1E" w:rsidP="00841D1E">
      <w:pPr>
        <w:spacing w:after="0" w:line="240" w:lineRule="auto"/>
        <w:jc w:val="both"/>
        <w:rPr>
          <w:rFonts w:cstheme="minorHAnsi"/>
          <w:sz w:val="21"/>
          <w:szCs w:val="21"/>
        </w:rPr>
      </w:pPr>
      <w:r w:rsidRPr="006823E9">
        <w:rPr>
          <w:sz w:val="21"/>
        </w:rPr>
        <w:t xml:space="preserve">Over the half-year, the Group collected €12.7 million net in connection with the management of its business portfolio, including the proceeds from the sale of </w:t>
      </w:r>
      <w:proofErr w:type="spellStart"/>
      <w:r w:rsidRPr="006823E9">
        <w:rPr>
          <w:sz w:val="21"/>
        </w:rPr>
        <w:t>Distrimed</w:t>
      </w:r>
      <w:proofErr w:type="spellEnd"/>
      <w:r w:rsidRPr="006823E9">
        <w:rPr>
          <w:sz w:val="21"/>
        </w:rPr>
        <w:t xml:space="preserve"> in December 2023 and outflows linked to the acquisitions of </w:t>
      </w:r>
      <w:proofErr w:type="spellStart"/>
      <w:r w:rsidRPr="006823E9">
        <w:rPr>
          <w:sz w:val="21"/>
        </w:rPr>
        <w:t>Oxigo</w:t>
      </w:r>
      <w:proofErr w:type="spellEnd"/>
      <w:r w:rsidRPr="006823E9">
        <w:rPr>
          <w:sz w:val="21"/>
        </w:rPr>
        <w:t xml:space="preserve"> and </w:t>
      </w:r>
      <w:proofErr w:type="spellStart"/>
      <w:r w:rsidRPr="006823E9">
        <w:rPr>
          <w:sz w:val="21"/>
        </w:rPr>
        <w:t>Occit'Perf</w:t>
      </w:r>
      <w:proofErr w:type="spellEnd"/>
      <w:r w:rsidRPr="006823E9">
        <w:rPr>
          <w:sz w:val="21"/>
        </w:rPr>
        <w:t>, and earn-outs paid in previous years' acquisitions and minority interest buyouts.</w:t>
      </w:r>
    </w:p>
    <w:p w14:paraId="5ABF68A3" w14:textId="77777777" w:rsidR="00841D1E" w:rsidRPr="006823E9" w:rsidRDefault="00841D1E" w:rsidP="00841D1E">
      <w:pPr>
        <w:spacing w:after="0" w:line="240" w:lineRule="auto"/>
        <w:jc w:val="both"/>
        <w:rPr>
          <w:rFonts w:cstheme="minorHAnsi"/>
          <w:sz w:val="21"/>
          <w:szCs w:val="21"/>
          <w:lang w:val="en-GB"/>
        </w:rPr>
      </w:pPr>
    </w:p>
    <w:p w14:paraId="7C1E1977" w14:textId="0C48F30F" w:rsidR="00841D1E" w:rsidRPr="006823E9" w:rsidRDefault="00841D1E" w:rsidP="00841D1E">
      <w:pPr>
        <w:spacing w:after="0" w:line="240" w:lineRule="auto"/>
        <w:jc w:val="both"/>
        <w:rPr>
          <w:rFonts w:cstheme="minorHAnsi"/>
          <w:sz w:val="21"/>
          <w:szCs w:val="21"/>
        </w:rPr>
      </w:pPr>
      <w:r w:rsidRPr="006823E9">
        <w:rPr>
          <w:sz w:val="21"/>
        </w:rPr>
        <w:t>Excluding lease liabilities of €74.6 million, net debt amounted to €324.4 million at December 31, 2023 and shareholders’ equity to €83.4 million. Cash and cash equivalents stood at €35.1 million. The Group’s leverage (net debt</w:t>
      </w:r>
      <w:r w:rsidRPr="006823E9">
        <w:rPr>
          <w:sz w:val="21"/>
          <w:vertAlign w:val="superscript"/>
        </w:rPr>
        <w:t>3</w:t>
      </w:r>
      <w:r w:rsidRPr="006823E9">
        <w:rPr>
          <w:sz w:val="21"/>
        </w:rPr>
        <w:t>/annual restated EBITDA</w:t>
      </w:r>
      <w:r w:rsidRPr="006823E9">
        <w:rPr>
          <w:sz w:val="21"/>
          <w:vertAlign w:val="superscript"/>
        </w:rPr>
        <w:t>4</w:t>
      </w:r>
      <w:r w:rsidRPr="006823E9">
        <w:rPr>
          <w:sz w:val="21"/>
        </w:rPr>
        <w:t xml:space="preserve"> – excluding IFRS 16 impact), came to 3.41×, a decrease on the calculated leverage at June 30, 2023. </w:t>
      </w:r>
    </w:p>
    <w:p w14:paraId="29C3EBC8" w14:textId="77777777" w:rsidR="00841D1E" w:rsidRPr="006823E9" w:rsidRDefault="00841D1E" w:rsidP="00841D1E">
      <w:pPr>
        <w:spacing w:after="0" w:line="240" w:lineRule="auto"/>
        <w:jc w:val="both"/>
        <w:rPr>
          <w:rFonts w:cstheme="minorHAnsi"/>
          <w:sz w:val="21"/>
          <w:szCs w:val="21"/>
          <w:lang w:val="en-GB"/>
        </w:rPr>
      </w:pPr>
    </w:p>
    <w:p w14:paraId="5C3933BE" w14:textId="77777777" w:rsidR="00841D1E" w:rsidRPr="006823E9" w:rsidRDefault="00841D1E" w:rsidP="00841D1E">
      <w:pPr>
        <w:spacing w:after="0"/>
        <w:jc w:val="both"/>
        <w:rPr>
          <w:rFonts w:eastAsia="Times New Roman" w:cstheme="minorHAnsi"/>
          <w:b/>
          <w:bCs/>
          <w:color w:val="008F8F"/>
          <w:sz w:val="24"/>
          <w:szCs w:val="24"/>
        </w:rPr>
      </w:pPr>
      <w:r w:rsidRPr="006823E9">
        <w:rPr>
          <w:b/>
          <w:color w:val="008F8F"/>
          <w:sz w:val="24"/>
        </w:rPr>
        <w:t xml:space="preserve">2023-2024 outlook </w:t>
      </w:r>
    </w:p>
    <w:p w14:paraId="1982E2EE" w14:textId="77777777" w:rsidR="00841D1E" w:rsidRPr="006823E9" w:rsidRDefault="00841D1E" w:rsidP="00841D1E">
      <w:pPr>
        <w:spacing w:after="0"/>
        <w:jc w:val="both"/>
        <w:rPr>
          <w:rFonts w:eastAsia="Times New Roman" w:cstheme="minorHAnsi"/>
          <w:sz w:val="21"/>
          <w:szCs w:val="21"/>
          <w:lang w:val="en-GB" w:eastAsia="fr-FR"/>
        </w:rPr>
      </w:pPr>
    </w:p>
    <w:p w14:paraId="4D48954F" w14:textId="77777777" w:rsidR="00841D1E" w:rsidRPr="006823E9" w:rsidRDefault="00841D1E" w:rsidP="00841D1E">
      <w:pPr>
        <w:spacing w:after="0" w:line="240" w:lineRule="auto"/>
        <w:jc w:val="both"/>
        <w:rPr>
          <w:rFonts w:eastAsia="Times New Roman" w:cstheme="minorHAnsi"/>
          <w:sz w:val="21"/>
          <w:szCs w:val="21"/>
        </w:rPr>
      </w:pPr>
      <w:r w:rsidRPr="006823E9">
        <w:rPr>
          <w:sz w:val="21"/>
        </w:rPr>
        <w:t>In light of the trends observed in its markets, Groupe Bastide is confident in continuing its growth trajectory. The Group confirms its annual revenue target of around €530 million like-for-like and a recurring operating margin at least equal to that achieved for fiscal year 2022-2023, i.e., 8.4%.</w:t>
      </w:r>
    </w:p>
    <w:p w14:paraId="7494D129" w14:textId="77777777" w:rsidR="00841D1E" w:rsidRPr="006823E9" w:rsidRDefault="00841D1E" w:rsidP="00841D1E">
      <w:pPr>
        <w:spacing w:after="0"/>
        <w:jc w:val="both"/>
        <w:rPr>
          <w:rFonts w:eastAsia="Times New Roman" w:cstheme="minorHAnsi"/>
          <w:sz w:val="21"/>
          <w:szCs w:val="21"/>
          <w:lang w:val="en-GB" w:eastAsia="fr-FR"/>
        </w:rPr>
      </w:pPr>
    </w:p>
    <w:p w14:paraId="0C290D74" w14:textId="77777777" w:rsidR="00841D1E" w:rsidRPr="00DB61C2" w:rsidRDefault="00841D1E" w:rsidP="00841D1E">
      <w:pPr>
        <w:spacing w:after="0"/>
        <w:jc w:val="both"/>
        <w:rPr>
          <w:rFonts w:eastAsia="Times New Roman" w:cstheme="minorHAnsi"/>
          <w:sz w:val="21"/>
          <w:szCs w:val="21"/>
        </w:rPr>
      </w:pPr>
      <w:r w:rsidRPr="006823E9">
        <w:rPr>
          <w:sz w:val="21"/>
        </w:rPr>
        <w:t>Debt reduction is the priority for the 2023-2024 fiscal year. In line with the expected improvement in operating free cash flow in the second half of the year, Groupe Bastide intends to accelerate debt reduction, and is continuing to look into the possibility of selling assets that no longer align with its strategy or hinder value creation.</w:t>
      </w:r>
    </w:p>
    <w:p w14:paraId="47D2567F" w14:textId="77777777" w:rsidR="00C25009" w:rsidRPr="006823E9" w:rsidRDefault="00C25009" w:rsidP="00C25009">
      <w:pPr>
        <w:spacing w:after="0" w:line="240" w:lineRule="auto"/>
        <w:jc w:val="both"/>
        <w:rPr>
          <w:rFonts w:cstheme="minorHAnsi"/>
          <w:b/>
          <w:lang w:val="en-GB"/>
        </w:rPr>
      </w:pPr>
    </w:p>
    <w:p w14:paraId="6E19601D" w14:textId="77777777" w:rsidR="00D76171" w:rsidRPr="006823E9" w:rsidRDefault="00D76171" w:rsidP="00C25009">
      <w:pPr>
        <w:spacing w:after="0" w:line="240" w:lineRule="auto"/>
        <w:jc w:val="both"/>
        <w:rPr>
          <w:rFonts w:cstheme="minorHAnsi"/>
          <w:b/>
          <w:lang w:val="en-GB"/>
        </w:rPr>
      </w:pPr>
    </w:p>
    <w:p w14:paraId="7B3480EA" w14:textId="21D31CBC" w:rsidR="00185EE2" w:rsidRPr="00DB61C2" w:rsidRDefault="00185EE2" w:rsidP="006509F0">
      <w:pPr>
        <w:spacing w:after="0" w:line="240" w:lineRule="auto"/>
        <w:jc w:val="both"/>
        <w:rPr>
          <w:rFonts w:eastAsia="Times New Roman" w:cstheme="minorHAnsi"/>
          <w:sz w:val="24"/>
          <w:szCs w:val="24"/>
        </w:rPr>
      </w:pPr>
      <w:r w:rsidRPr="00DB61C2">
        <w:rPr>
          <w:noProof/>
          <w:sz w:val="24"/>
        </w:rPr>
        <mc:AlternateContent>
          <mc:Choice Requires="wps">
            <w:drawing>
              <wp:anchor distT="0" distB="0" distL="114300" distR="114300" simplePos="0" relativeHeight="251660288" behindDoc="1" locked="0" layoutInCell="1" allowOverlap="1" wp14:anchorId="4B3E33D0" wp14:editId="01780940">
                <wp:simplePos x="0" y="0"/>
                <wp:positionH relativeFrom="margin">
                  <wp:posOffset>405736</wp:posOffset>
                </wp:positionH>
                <wp:positionV relativeFrom="paragraph">
                  <wp:posOffset>90688</wp:posOffset>
                </wp:positionV>
                <wp:extent cx="4629150" cy="745262"/>
                <wp:effectExtent l="0" t="0" r="0" b="0"/>
                <wp:wrapNone/>
                <wp:docPr id="192" name="Rectangle : coins arrondis 192"/>
                <wp:cNvGraphicFramePr/>
                <a:graphic xmlns:a="http://schemas.openxmlformats.org/drawingml/2006/main">
                  <a:graphicData uri="http://schemas.microsoft.com/office/word/2010/wordprocessingShape">
                    <wps:wsp>
                      <wps:cNvSpPr/>
                      <wps:spPr>
                        <a:xfrm>
                          <a:off x="0" y="0"/>
                          <a:ext cx="4629150" cy="745262"/>
                        </a:xfrm>
                        <a:prstGeom prst="roundRect">
                          <a:avLst>
                            <a:gd name="adj" fmla="val 50000"/>
                          </a:avLst>
                        </a:prstGeom>
                        <a:solidFill>
                          <a:srgbClr val="008F8F">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243E0" id="Rectangle : coins arrondis 192" o:spid="_x0000_s1026" style="position:absolute;margin-left:31.95pt;margin-top:7.15pt;width:364.5pt;height:58.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" fillcolor="#008f8f" stroked="f" strokeweight="2pt">
                <v:fill opacity="13107f"/>
                <w10:wrap anchorx="margin"/>
              </v:roundrect>
            </w:pict>
          </mc:Fallback>
        </mc:AlternateContent>
      </w:r>
    </w:p>
    <w:p w14:paraId="79EBEA87" w14:textId="77777777" w:rsidR="000118A1" w:rsidRPr="00DB61C2" w:rsidRDefault="00185EE2" w:rsidP="007A297D">
      <w:pPr>
        <w:spacing w:after="0"/>
        <w:jc w:val="center"/>
        <w:rPr>
          <w:rFonts w:eastAsia="Times New Roman" w:cstheme="minorHAnsi"/>
          <w:color w:val="008F8F"/>
          <w:sz w:val="24"/>
          <w:szCs w:val="24"/>
        </w:rPr>
      </w:pPr>
      <w:r w:rsidRPr="00DB61C2">
        <w:rPr>
          <w:b/>
          <w:color w:val="008F8F"/>
          <w:sz w:val="24"/>
        </w:rPr>
        <w:t>NEXT RESULTS</w:t>
      </w:r>
      <w:r w:rsidRPr="00DB61C2">
        <w:rPr>
          <w:color w:val="008F8F"/>
          <w:sz w:val="24"/>
        </w:rPr>
        <w:t xml:space="preserve">: </w:t>
      </w:r>
    </w:p>
    <w:p w14:paraId="3D295410" w14:textId="7A144EEC" w:rsidR="0080210B" w:rsidRPr="00DB61C2" w:rsidRDefault="001876EB" w:rsidP="007A297D">
      <w:pPr>
        <w:spacing w:after="0"/>
        <w:jc w:val="center"/>
        <w:rPr>
          <w:rFonts w:eastAsia="Times New Roman" w:cstheme="minorHAnsi"/>
          <w:color w:val="008F8F"/>
        </w:rPr>
      </w:pPr>
      <w:r w:rsidRPr="00DB61C2">
        <w:rPr>
          <w:color w:val="008F8F"/>
        </w:rPr>
        <w:t xml:space="preserve">Publication of third-quarter 2023-2024 revenue on </w:t>
      </w:r>
    </w:p>
    <w:p w14:paraId="2FAA4BAB" w14:textId="055C0691" w:rsidR="006509F0" w:rsidRPr="00DB61C2" w:rsidRDefault="00841D1E" w:rsidP="007A297D">
      <w:pPr>
        <w:spacing w:after="0"/>
        <w:jc w:val="center"/>
        <w:rPr>
          <w:rFonts w:eastAsia="Times New Roman" w:cstheme="minorHAnsi"/>
          <w:color w:val="008F8F"/>
        </w:rPr>
      </w:pPr>
      <w:r w:rsidRPr="00DB61C2">
        <w:rPr>
          <w:color w:val="008F8F"/>
        </w:rPr>
        <w:t>May 15, 2024 after the close of trading</w:t>
      </w:r>
    </w:p>
    <w:p w14:paraId="3325ACE6" w14:textId="77777777" w:rsidR="006509F0" w:rsidRPr="00DB61C2" w:rsidRDefault="006509F0" w:rsidP="006509F0">
      <w:pPr>
        <w:spacing w:after="0" w:line="240" w:lineRule="auto"/>
        <w:jc w:val="both"/>
        <w:rPr>
          <w:rFonts w:eastAsia="Times New Roman" w:cstheme="minorHAnsi"/>
          <w:sz w:val="24"/>
          <w:szCs w:val="24"/>
          <w:lang w:eastAsia="fr-FR"/>
        </w:rPr>
      </w:pPr>
    </w:p>
    <w:p w14:paraId="67BCBE18" w14:textId="4ED58944" w:rsidR="002C213C" w:rsidRPr="00DB61C2" w:rsidRDefault="002C213C" w:rsidP="006509F0">
      <w:pPr>
        <w:spacing w:after="0" w:line="240" w:lineRule="auto"/>
        <w:jc w:val="both"/>
        <w:rPr>
          <w:rFonts w:eastAsia="Times New Roman" w:cstheme="minorHAnsi"/>
          <w:i/>
          <w:iCs/>
          <w:color w:val="008F8F"/>
          <w:sz w:val="16"/>
          <w:szCs w:val="16"/>
          <w:lang w:eastAsia="fr-FR"/>
        </w:rPr>
      </w:pPr>
    </w:p>
    <w:p w14:paraId="504CE81A" w14:textId="77777777" w:rsidR="00D76171" w:rsidRPr="00DB61C2" w:rsidRDefault="00D76171" w:rsidP="006509F0">
      <w:pPr>
        <w:spacing w:after="0" w:line="240" w:lineRule="auto"/>
        <w:jc w:val="both"/>
        <w:rPr>
          <w:rFonts w:eastAsia="Times New Roman" w:cstheme="minorHAnsi"/>
          <w:i/>
          <w:iCs/>
          <w:color w:val="008F8F"/>
          <w:sz w:val="16"/>
          <w:szCs w:val="16"/>
          <w:lang w:eastAsia="fr-FR"/>
        </w:rPr>
      </w:pPr>
    </w:p>
    <w:p w14:paraId="0E23D721" w14:textId="3C556F7B" w:rsidR="006509F0" w:rsidRPr="00DB61C2" w:rsidRDefault="00185EE2" w:rsidP="006509F0">
      <w:pPr>
        <w:spacing w:after="0" w:line="240" w:lineRule="auto"/>
        <w:jc w:val="both"/>
        <w:rPr>
          <w:rFonts w:eastAsia="Times New Roman" w:cstheme="minorHAnsi"/>
          <w:sz w:val="24"/>
          <w:szCs w:val="24"/>
        </w:rPr>
      </w:pPr>
      <w:r w:rsidRPr="00DB61C2">
        <w:rPr>
          <w:noProof/>
          <w:sz w:val="24"/>
        </w:rPr>
        <mc:AlternateContent>
          <mc:Choice Requires="wps">
            <w:drawing>
              <wp:anchor distT="0" distB="0" distL="114300" distR="114300" simplePos="0" relativeHeight="251661312" behindDoc="0" locked="0" layoutInCell="1" allowOverlap="1" wp14:anchorId="34A290F5" wp14:editId="5FAF0615">
                <wp:simplePos x="0" y="0"/>
                <wp:positionH relativeFrom="column">
                  <wp:posOffset>-4445</wp:posOffset>
                </wp:positionH>
                <wp:positionV relativeFrom="paragraph">
                  <wp:posOffset>109264</wp:posOffset>
                </wp:positionV>
                <wp:extent cx="5396878" cy="0"/>
                <wp:effectExtent l="0" t="0" r="0" b="0"/>
                <wp:wrapNone/>
                <wp:docPr id="193" name="Connecteur droit 193"/>
                <wp:cNvGraphicFramePr/>
                <a:graphic xmlns:a="http://schemas.openxmlformats.org/drawingml/2006/main">
                  <a:graphicData uri="http://schemas.microsoft.com/office/word/2010/wordprocessingShape">
                    <wps:wsp>
                      <wps:cNvCnPr/>
                      <wps:spPr>
                        <a:xfrm>
                          <a:off x="0" y="0"/>
                          <a:ext cx="5396878"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80046" id="Connecteur droit 19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8.6pt" to="424.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" strokecolor="#d8d8d8 [2732]"/>
            </w:pict>
          </mc:Fallback>
        </mc:AlternateContent>
      </w:r>
    </w:p>
    <w:p w14:paraId="54D7A194" w14:textId="77777777" w:rsidR="00FE2A0A" w:rsidRPr="006823E9" w:rsidRDefault="00FE2A0A" w:rsidP="00FE2A0A">
      <w:pPr>
        <w:spacing w:after="0" w:line="240" w:lineRule="auto"/>
        <w:jc w:val="both"/>
        <w:rPr>
          <w:rFonts w:eastAsia="Times New Roman" w:cstheme="minorHAnsi"/>
          <w:b/>
          <w:bCs/>
          <w:sz w:val="20"/>
          <w:szCs w:val="20"/>
          <w:lang w:val="fr-FR"/>
        </w:rPr>
      </w:pPr>
      <w:r w:rsidRPr="00DB61C2">
        <w:rPr>
          <w:b/>
          <w:sz w:val="20"/>
          <w:lang w:val="fr-FR"/>
        </w:rPr>
        <w:t>About Groupe Bastide Le Confort Médical</w:t>
      </w:r>
    </w:p>
    <w:p w14:paraId="71CA1303" w14:textId="6A8BAE66" w:rsidR="000118A1" w:rsidRPr="00DB61C2" w:rsidRDefault="00FE2A0A" w:rsidP="00FE2A0A">
      <w:pPr>
        <w:spacing w:after="0" w:line="240" w:lineRule="auto"/>
        <w:jc w:val="both"/>
        <w:rPr>
          <w:rFonts w:eastAsia="Times New Roman" w:cstheme="minorHAnsi"/>
          <w:sz w:val="18"/>
          <w:szCs w:val="18"/>
        </w:rPr>
      </w:pPr>
      <w:r w:rsidRPr="00DB61C2">
        <w:rPr>
          <w:sz w:val="18"/>
        </w:rPr>
        <w:t xml:space="preserve">Created in 1977 by Guy Bastide, Groupe Bastide is a leading European provider of home healthcare services. Present in 8 countries, Bastide develops a permanent quality approach and is committed to providing medical devices and associated services that best meet patients’ needs in key health areas: diabetes, nutrition, infusion, respiratory care, </w:t>
      </w:r>
      <w:proofErr w:type="spellStart"/>
      <w:r w:rsidRPr="00DB61C2">
        <w:rPr>
          <w:sz w:val="18"/>
        </w:rPr>
        <w:t>stomatherapy</w:t>
      </w:r>
      <w:proofErr w:type="spellEnd"/>
      <w:r w:rsidRPr="00DB61C2">
        <w:rPr>
          <w:sz w:val="18"/>
        </w:rPr>
        <w:t xml:space="preserve"> and urology. Bastide is listed on Euronext Paris (ISIN: FR0000035370, Reuters BATD.PA, - Bloomberg BLC: FP).</w:t>
      </w:r>
      <w:r w:rsidRPr="00DB61C2">
        <w:rPr>
          <w:sz w:val="18"/>
        </w:rPr>
        <w:cr/>
      </w:r>
    </w:p>
    <w:p w14:paraId="55CC3A4F" w14:textId="77777777" w:rsidR="004C778A" w:rsidRPr="00DB61C2" w:rsidRDefault="004C778A" w:rsidP="00FE2A0A">
      <w:pPr>
        <w:spacing w:after="0" w:line="240" w:lineRule="auto"/>
        <w:jc w:val="both"/>
        <w:rPr>
          <w:rFonts w:eastAsia="Times New Roman" w:cstheme="minorHAnsi"/>
          <w:sz w:val="18"/>
          <w:szCs w:val="18"/>
          <w:lang w:eastAsia="fr-FR"/>
        </w:rPr>
      </w:pPr>
    </w:p>
    <w:p w14:paraId="0A395938" w14:textId="77777777" w:rsidR="004C778A" w:rsidRPr="00DB61C2" w:rsidRDefault="004C778A" w:rsidP="00FE2A0A">
      <w:pPr>
        <w:spacing w:after="0" w:line="240" w:lineRule="auto"/>
        <w:jc w:val="both"/>
        <w:rPr>
          <w:rFonts w:eastAsia="Times New Roman" w:cstheme="minorHAnsi"/>
          <w:sz w:val="20"/>
          <w:szCs w:val="20"/>
          <w:lang w:eastAsia="fr-FR"/>
        </w:rPr>
      </w:pPr>
    </w:p>
    <w:p w14:paraId="56D57CD7" w14:textId="77777777" w:rsidR="00D76171" w:rsidRPr="00DB61C2" w:rsidRDefault="00D76171" w:rsidP="00FE2A0A">
      <w:pPr>
        <w:spacing w:after="0" w:line="240" w:lineRule="auto"/>
        <w:jc w:val="both"/>
        <w:rPr>
          <w:rFonts w:eastAsia="Times New Roman" w:cstheme="minorHAnsi"/>
          <w:sz w:val="20"/>
          <w:szCs w:val="20"/>
          <w:lang w:eastAsia="fr-FR"/>
        </w:rPr>
      </w:pPr>
    </w:p>
    <w:p w14:paraId="792C7F7D" w14:textId="77777777" w:rsidR="00D76171" w:rsidRPr="00DB61C2" w:rsidRDefault="00D76171" w:rsidP="00FE2A0A">
      <w:pPr>
        <w:spacing w:after="0" w:line="240" w:lineRule="auto"/>
        <w:jc w:val="both"/>
        <w:rPr>
          <w:rFonts w:eastAsia="Times New Roman" w:cstheme="minorHAnsi"/>
          <w:sz w:val="20"/>
          <w:szCs w:val="20"/>
          <w:lang w:eastAsia="fr-FR"/>
        </w:rPr>
      </w:pPr>
    </w:p>
    <w:tbl>
      <w:tblPr>
        <w:tblStyle w:val="Grilledutableau"/>
        <w:tblW w:w="0" w:type="auto"/>
        <w:tblBorders>
          <w:insideV w:val="single" w:sz="4" w:space="0" w:color="008F8F"/>
        </w:tblBorders>
        <w:tblLook w:val="04A0" w:firstRow="1" w:lastRow="0" w:firstColumn="1" w:lastColumn="0" w:noHBand="0" w:noVBand="1"/>
      </w:tblPr>
      <w:tblGrid>
        <w:gridCol w:w="3397"/>
        <w:gridCol w:w="2267"/>
        <w:gridCol w:w="2832"/>
      </w:tblGrid>
      <w:tr w:rsidR="00185EE2" w:rsidRPr="00DB61C2" w14:paraId="7B12E7C3" w14:textId="77777777" w:rsidTr="00910ABE">
        <w:tc>
          <w:tcPr>
            <w:tcW w:w="3397" w:type="dxa"/>
            <w:tcBorders>
              <w:top w:val="single" w:sz="4" w:space="0" w:color="FFFFFF" w:themeColor="background1"/>
              <w:left w:val="single" w:sz="4" w:space="0" w:color="FFFFFF" w:themeColor="background1"/>
              <w:bottom w:val="single" w:sz="4" w:space="0" w:color="008F8F"/>
              <w:right w:val="single" w:sz="4" w:space="0" w:color="008F8F"/>
            </w:tcBorders>
          </w:tcPr>
          <w:p w14:paraId="0DCB67E4" w14:textId="0E457F3B" w:rsidR="00185EE2" w:rsidRPr="00DB61C2" w:rsidRDefault="00185EE2" w:rsidP="006509F0">
            <w:pPr>
              <w:jc w:val="both"/>
              <w:rPr>
                <w:rFonts w:eastAsia="Times New Roman" w:cstheme="minorHAnsi"/>
                <w:b/>
                <w:bCs/>
                <w:sz w:val="24"/>
                <w:szCs w:val="24"/>
              </w:rPr>
            </w:pPr>
            <w:r w:rsidRPr="00DB61C2">
              <w:rPr>
                <w:b/>
                <w:color w:val="008F8F"/>
                <w:sz w:val="24"/>
              </w:rPr>
              <w:t>Groupe Bastide</w:t>
            </w:r>
          </w:p>
        </w:tc>
        <w:tc>
          <w:tcPr>
            <w:tcW w:w="2267" w:type="dxa"/>
            <w:tcBorders>
              <w:top w:val="single" w:sz="4" w:space="0" w:color="FFFFFF" w:themeColor="background1"/>
              <w:left w:val="single" w:sz="4" w:space="0" w:color="008F8F"/>
              <w:bottom w:val="single" w:sz="4" w:space="0" w:color="E4032D"/>
              <w:right w:val="single" w:sz="4" w:space="0" w:color="FFFFFF" w:themeColor="background1"/>
            </w:tcBorders>
          </w:tcPr>
          <w:p w14:paraId="4F5D5691" w14:textId="34B09105" w:rsidR="00185EE2" w:rsidRPr="00DB61C2" w:rsidRDefault="00185EE2" w:rsidP="006509F0">
            <w:pPr>
              <w:jc w:val="both"/>
              <w:rPr>
                <w:rFonts w:eastAsia="Times New Roman" w:cstheme="minorHAnsi"/>
                <w:b/>
                <w:bCs/>
                <w:color w:val="E4032D"/>
                <w:sz w:val="24"/>
                <w:szCs w:val="24"/>
              </w:rPr>
            </w:pPr>
            <w:r w:rsidRPr="00DB61C2">
              <w:rPr>
                <w:b/>
                <w:color w:val="E4032D"/>
                <w:sz w:val="24"/>
              </w:rPr>
              <w:t>Actus Finance</w:t>
            </w:r>
          </w:p>
        </w:tc>
        <w:tc>
          <w:tcPr>
            <w:tcW w:w="2832" w:type="dxa"/>
            <w:tcBorders>
              <w:top w:val="single" w:sz="4" w:space="0" w:color="FFFFFF" w:themeColor="background1"/>
              <w:left w:val="single" w:sz="4" w:space="0" w:color="FFFFFF" w:themeColor="background1"/>
              <w:bottom w:val="single" w:sz="4" w:space="0" w:color="E4032D"/>
              <w:right w:val="single" w:sz="4" w:space="0" w:color="FFFFFF" w:themeColor="background1"/>
            </w:tcBorders>
          </w:tcPr>
          <w:p w14:paraId="4ACED01E" w14:textId="77777777" w:rsidR="00185EE2" w:rsidRPr="00DB61C2" w:rsidRDefault="00185EE2" w:rsidP="006509F0">
            <w:pPr>
              <w:jc w:val="both"/>
              <w:rPr>
                <w:rFonts w:eastAsia="Times New Roman" w:cstheme="minorHAnsi"/>
                <w:sz w:val="24"/>
                <w:szCs w:val="24"/>
                <w:lang w:eastAsia="fr-FR"/>
              </w:rPr>
            </w:pPr>
          </w:p>
        </w:tc>
      </w:tr>
      <w:tr w:rsidR="00185EE2" w:rsidRPr="00DB61C2" w14:paraId="7CA3D617" w14:textId="77777777" w:rsidTr="00910ABE">
        <w:tc>
          <w:tcPr>
            <w:tcW w:w="3397" w:type="dxa"/>
            <w:tcBorders>
              <w:top w:val="single" w:sz="4" w:space="0" w:color="008F8F"/>
              <w:left w:val="single" w:sz="4" w:space="0" w:color="FFFFFF" w:themeColor="background1"/>
              <w:bottom w:val="single" w:sz="4" w:space="0" w:color="FFFFFF" w:themeColor="background1"/>
            </w:tcBorders>
          </w:tcPr>
          <w:p w14:paraId="7319DE33" w14:textId="77777777" w:rsidR="00DD5663" w:rsidRPr="00DB61C2" w:rsidRDefault="00DD5663" w:rsidP="00DD5663">
            <w:pPr>
              <w:rPr>
                <w:rFonts w:eastAsia="Times New Roman" w:cstheme="minorHAnsi"/>
                <w:sz w:val="18"/>
                <w:szCs w:val="18"/>
                <w:lang w:eastAsia="fr-FR"/>
              </w:rPr>
            </w:pPr>
          </w:p>
          <w:p w14:paraId="250CFB23" w14:textId="4C6DC705" w:rsidR="00DD5663" w:rsidRPr="00DB61C2" w:rsidRDefault="00DD5663" w:rsidP="00DD5663">
            <w:pPr>
              <w:rPr>
                <w:rFonts w:eastAsia="Times New Roman" w:cstheme="minorHAnsi"/>
                <w:sz w:val="18"/>
                <w:szCs w:val="18"/>
              </w:rPr>
            </w:pPr>
            <w:r w:rsidRPr="00DB61C2">
              <w:rPr>
                <w:sz w:val="18"/>
              </w:rPr>
              <w:t xml:space="preserve">Vincent Bastide/Olivier Jourdanney </w:t>
            </w:r>
            <w:r w:rsidRPr="00DB61C2">
              <w:rPr>
                <w:sz w:val="18"/>
              </w:rPr>
              <w:br/>
              <w:t>T. +33 (0)4 66 38 68 08</w:t>
            </w:r>
          </w:p>
          <w:p w14:paraId="7E0B3C03" w14:textId="77777777" w:rsidR="00DD5663" w:rsidRPr="00DB61C2" w:rsidRDefault="00DD5663" w:rsidP="00DD5663">
            <w:pPr>
              <w:rPr>
                <w:rFonts w:eastAsia="Times New Roman" w:cstheme="minorHAnsi"/>
                <w:sz w:val="18"/>
                <w:szCs w:val="18"/>
              </w:rPr>
            </w:pPr>
            <w:r w:rsidRPr="00DB61C2">
              <w:rPr>
                <w:sz w:val="18"/>
              </w:rPr>
              <w:t>www.bastide-groupe.fr</w:t>
            </w:r>
          </w:p>
          <w:p w14:paraId="1F520E04" w14:textId="77777777" w:rsidR="00185EE2" w:rsidRPr="00DB61C2" w:rsidRDefault="00185EE2" w:rsidP="006509F0">
            <w:pPr>
              <w:jc w:val="both"/>
              <w:rPr>
                <w:rFonts w:eastAsia="Times New Roman" w:cstheme="minorHAnsi"/>
                <w:sz w:val="24"/>
                <w:szCs w:val="24"/>
                <w:lang w:eastAsia="fr-FR"/>
              </w:rPr>
            </w:pPr>
          </w:p>
        </w:tc>
        <w:tc>
          <w:tcPr>
            <w:tcW w:w="2267" w:type="dxa"/>
            <w:tcBorders>
              <w:top w:val="single" w:sz="4" w:space="0" w:color="E4032D"/>
              <w:bottom w:val="single" w:sz="4" w:space="0" w:color="FFFFFF" w:themeColor="background1"/>
              <w:right w:val="single" w:sz="4" w:space="0" w:color="FFFFFF" w:themeColor="background1"/>
            </w:tcBorders>
          </w:tcPr>
          <w:p w14:paraId="2E0E59AE" w14:textId="77777777" w:rsidR="00DD5663" w:rsidRPr="00DB61C2" w:rsidRDefault="00DD5663" w:rsidP="006509F0">
            <w:pPr>
              <w:jc w:val="both"/>
              <w:rPr>
                <w:rFonts w:eastAsia="Times New Roman" w:cstheme="minorHAnsi"/>
                <w:sz w:val="18"/>
                <w:szCs w:val="18"/>
                <w:lang w:eastAsia="fr-FR"/>
              </w:rPr>
            </w:pPr>
          </w:p>
          <w:p w14:paraId="2F42E679" w14:textId="693689A5" w:rsidR="00185EE2" w:rsidRPr="00DB61C2" w:rsidRDefault="00DD5663" w:rsidP="006509F0">
            <w:pPr>
              <w:jc w:val="both"/>
              <w:rPr>
                <w:rFonts w:eastAsia="Times New Roman" w:cstheme="minorHAnsi"/>
                <w:sz w:val="18"/>
                <w:szCs w:val="18"/>
              </w:rPr>
            </w:pPr>
            <w:r w:rsidRPr="00DB61C2">
              <w:rPr>
                <w:b/>
                <w:sz w:val="18"/>
              </w:rPr>
              <w:t>Analyst-Investor</w:t>
            </w:r>
            <w:r w:rsidRPr="00DB61C2">
              <w:rPr>
                <w:sz w:val="18"/>
              </w:rPr>
              <w:t xml:space="preserve"> </w:t>
            </w:r>
            <w:r w:rsidRPr="00DB61C2">
              <w:rPr>
                <w:sz w:val="18"/>
              </w:rPr>
              <w:br/>
              <w:t>Hélène de Watteville</w:t>
            </w:r>
          </w:p>
          <w:p w14:paraId="29F071C4" w14:textId="35F5C37D" w:rsidR="00DD5663" w:rsidRPr="00DB61C2" w:rsidRDefault="00DD5663" w:rsidP="006509F0">
            <w:pPr>
              <w:jc w:val="both"/>
              <w:rPr>
                <w:rFonts w:eastAsia="Times New Roman" w:cstheme="minorHAnsi"/>
                <w:sz w:val="18"/>
                <w:szCs w:val="18"/>
              </w:rPr>
            </w:pPr>
            <w:r w:rsidRPr="00DB61C2">
              <w:rPr>
                <w:sz w:val="18"/>
              </w:rPr>
              <w:t xml:space="preserve">T. +33 (0)1 53 67 36 33  </w:t>
            </w:r>
          </w:p>
        </w:tc>
        <w:tc>
          <w:tcPr>
            <w:tcW w:w="2832" w:type="dxa"/>
            <w:tcBorders>
              <w:top w:val="single" w:sz="4" w:space="0" w:color="E4032D"/>
              <w:left w:val="single" w:sz="4" w:space="0" w:color="FFFFFF" w:themeColor="background1"/>
              <w:bottom w:val="single" w:sz="4" w:space="0" w:color="FFFFFF" w:themeColor="background1"/>
              <w:right w:val="single" w:sz="4" w:space="0" w:color="FFFFFF" w:themeColor="background1"/>
            </w:tcBorders>
          </w:tcPr>
          <w:p w14:paraId="6465C068" w14:textId="77777777" w:rsidR="00DD5663" w:rsidRPr="00DB61C2" w:rsidRDefault="00DD5663" w:rsidP="006509F0">
            <w:pPr>
              <w:jc w:val="both"/>
              <w:rPr>
                <w:rFonts w:eastAsia="Times New Roman" w:cstheme="minorHAnsi"/>
                <w:sz w:val="18"/>
                <w:szCs w:val="18"/>
                <w:lang w:eastAsia="fr-FR"/>
              </w:rPr>
            </w:pPr>
          </w:p>
          <w:p w14:paraId="25DE3872" w14:textId="77932E57" w:rsidR="00DD5663" w:rsidRPr="00DB61C2" w:rsidRDefault="00DD5663" w:rsidP="006509F0">
            <w:pPr>
              <w:jc w:val="both"/>
              <w:rPr>
                <w:rFonts w:eastAsia="Times New Roman" w:cstheme="minorHAnsi"/>
                <w:b/>
                <w:bCs/>
                <w:sz w:val="18"/>
                <w:szCs w:val="18"/>
              </w:rPr>
            </w:pPr>
            <w:r w:rsidRPr="00DB61C2">
              <w:rPr>
                <w:b/>
                <w:sz w:val="18"/>
              </w:rPr>
              <w:t xml:space="preserve">Press – Media </w:t>
            </w:r>
          </w:p>
          <w:p w14:paraId="13E0E57F" w14:textId="05EF37D8" w:rsidR="00185EE2" w:rsidRPr="00DB61C2" w:rsidRDefault="006C48F1" w:rsidP="006509F0">
            <w:pPr>
              <w:jc w:val="both"/>
              <w:rPr>
                <w:rFonts w:eastAsia="Times New Roman" w:cstheme="minorHAnsi"/>
                <w:sz w:val="18"/>
                <w:szCs w:val="18"/>
              </w:rPr>
            </w:pPr>
            <w:r w:rsidRPr="00DB61C2">
              <w:rPr>
                <w:sz w:val="18"/>
              </w:rPr>
              <w:t xml:space="preserve">Anne-Charlotte </w:t>
            </w:r>
            <w:proofErr w:type="spellStart"/>
            <w:r w:rsidRPr="00DB61C2">
              <w:rPr>
                <w:sz w:val="18"/>
              </w:rPr>
              <w:t>Dudicourt</w:t>
            </w:r>
            <w:proofErr w:type="spellEnd"/>
          </w:p>
          <w:p w14:paraId="08493C88" w14:textId="53CA0348" w:rsidR="00DD5663" w:rsidRPr="00DB61C2" w:rsidRDefault="00DD5663" w:rsidP="006509F0">
            <w:pPr>
              <w:jc w:val="both"/>
              <w:rPr>
                <w:rFonts w:eastAsia="Times New Roman" w:cstheme="minorHAnsi"/>
                <w:sz w:val="24"/>
                <w:szCs w:val="24"/>
              </w:rPr>
            </w:pPr>
            <w:r w:rsidRPr="00DB61C2">
              <w:rPr>
                <w:sz w:val="18"/>
              </w:rPr>
              <w:t>T. +33 (0)6 24 03 26 52</w:t>
            </w:r>
          </w:p>
        </w:tc>
      </w:tr>
    </w:tbl>
    <w:p w14:paraId="3F6CDE16" w14:textId="77777777" w:rsidR="007B4613" w:rsidRPr="00DB61C2" w:rsidRDefault="008F40B6" w:rsidP="00BA6D5C">
      <w:pPr>
        <w:pStyle w:val="NormalWeb"/>
        <w:shd w:val="clear" w:color="auto" w:fill="FFFFFF"/>
        <w:spacing w:after="150"/>
        <w:jc w:val="center"/>
        <w:rPr>
          <w:rFonts w:eastAsia="Times New Roman" w:cstheme="minorHAnsi"/>
        </w:rPr>
      </w:pPr>
      <w:r w:rsidRPr="00DB61C2">
        <w:lastRenderedPageBreak/>
        <w:t xml:space="preserve">  </w:t>
      </w:r>
    </w:p>
    <w:p w14:paraId="243BD84D" w14:textId="77777777" w:rsidR="007B4613" w:rsidRPr="00DB61C2" w:rsidRDefault="007B4613" w:rsidP="004C778A">
      <w:pPr>
        <w:jc w:val="center"/>
        <w:rPr>
          <w:rFonts w:eastAsia="Times New Roman" w:cstheme="minorHAnsi"/>
          <w:b/>
          <w:bCs/>
          <w:sz w:val="24"/>
          <w:szCs w:val="24"/>
          <w:lang w:eastAsia="fr-FR"/>
        </w:rPr>
      </w:pPr>
    </w:p>
    <w:p w14:paraId="7A514567" w14:textId="4E90CE01" w:rsidR="00BA6D5C" w:rsidRPr="00DB61C2" w:rsidRDefault="00BA6D5C" w:rsidP="004C778A">
      <w:pPr>
        <w:spacing w:after="0"/>
        <w:jc w:val="both"/>
        <w:rPr>
          <w:rFonts w:eastAsia="Times New Roman" w:cstheme="minorHAnsi"/>
          <w:b/>
          <w:bCs/>
          <w:color w:val="008F8F"/>
          <w:sz w:val="24"/>
          <w:szCs w:val="24"/>
        </w:rPr>
      </w:pPr>
      <w:r w:rsidRPr="00DB61C2">
        <w:rPr>
          <w:b/>
          <w:color w:val="008F8F"/>
          <w:sz w:val="24"/>
        </w:rPr>
        <w:t>Alternative performance indicators (reconciliation)</w:t>
      </w:r>
    </w:p>
    <w:p w14:paraId="36FCAE65" w14:textId="77777777" w:rsidR="004C778A" w:rsidRPr="00DB61C2" w:rsidRDefault="004C778A" w:rsidP="004C778A">
      <w:pPr>
        <w:spacing w:after="0"/>
        <w:jc w:val="both"/>
        <w:rPr>
          <w:rFonts w:eastAsia="Times New Roman" w:cstheme="minorHAnsi"/>
          <w:b/>
          <w:bCs/>
          <w:color w:val="008F8F"/>
          <w:sz w:val="24"/>
          <w:szCs w:val="24"/>
          <w:lang w:eastAsia="fr-FR"/>
        </w:rPr>
      </w:pPr>
    </w:p>
    <w:tbl>
      <w:tblPr>
        <w:tblpPr w:leftFromText="141" w:rightFromText="141" w:vertAnchor="text" w:horzAnchor="margin" w:tblpY="76"/>
        <w:tblW w:w="8500"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A0" w:firstRow="1" w:lastRow="0" w:firstColumn="1" w:lastColumn="0" w:noHBand="0" w:noVBand="0"/>
      </w:tblPr>
      <w:tblGrid>
        <w:gridCol w:w="5382"/>
        <w:gridCol w:w="1432"/>
        <w:gridCol w:w="1686"/>
      </w:tblGrid>
      <w:tr w:rsidR="004C778A" w:rsidRPr="00DB61C2" w14:paraId="37B683B6" w14:textId="77777777" w:rsidTr="003B0177">
        <w:trPr>
          <w:trHeight w:val="439"/>
        </w:trPr>
        <w:tc>
          <w:tcPr>
            <w:tcW w:w="5382" w:type="dxa"/>
            <w:tcBorders>
              <w:top w:val="single" w:sz="4" w:space="0" w:color="FFFFFF" w:themeColor="background1"/>
              <w:left w:val="single" w:sz="4" w:space="0" w:color="FFFFFF" w:themeColor="background1"/>
              <w:bottom w:val="single" w:sz="4" w:space="0" w:color="008F8F"/>
              <w:right w:val="single" w:sz="4" w:space="0" w:color="FFFFFF" w:themeColor="background1"/>
            </w:tcBorders>
            <w:noWrap/>
            <w:vAlign w:val="bottom"/>
            <w:hideMark/>
          </w:tcPr>
          <w:p w14:paraId="12F924E6" w14:textId="77777777" w:rsidR="004C778A" w:rsidRPr="00DB61C2" w:rsidRDefault="004C778A" w:rsidP="003B0177">
            <w:pPr>
              <w:spacing w:after="120" w:line="240" w:lineRule="auto"/>
              <w:rPr>
                <w:rFonts w:eastAsia="Times New Roman" w:cstheme="minorHAnsi"/>
                <w:b/>
                <w:bCs/>
              </w:rPr>
            </w:pPr>
            <w:r w:rsidRPr="00DB61C2">
              <w:rPr>
                <w:b/>
              </w:rPr>
              <w:t>EBITDA (€ millions)</w:t>
            </w:r>
          </w:p>
        </w:tc>
        <w:tc>
          <w:tcPr>
            <w:tcW w:w="1432" w:type="dxa"/>
            <w:tcBorders>
              <w:top w:val="single" w:sz="4" w:space="0" w:color="FFFFFF" w:themeColor="background1"/>
              <w:left w:val="single" w:sz="4" w:space="0" w:color="FFFFFF" w:themeColor="background1"/>
              <w:bottom w:val="single" w:sz="4" w:space="0" w:color="008F8F"/>
              <w:right w:val="single" w:sz="4" w:space="0" w:color="FFFFFF" w:themeColor="background1"/>
            </w:tcBorders>
            <w:vAlign w:val="bottom"/>
          </w:tcPr>
          <w:p w14:paraId="7B093729" w14:textId="45D3257B" w:rsidR="004C778A" w:rsidRPr="00DB61C2" w:rsidRDefault="007A25F0" w:rsidP="003B0177">
            <w:pPr>
              <w:spacing w:after="120" w:line="240" w:lineRule="auto"/>
              <w:jc w:val="right"/>
              <w:rPr>
                <w:rFonts w:eastAsia="Times New Roman" w:cstheme="minorHAnsi"/>
                <w:b/>
                <w:bCs/>
              </w:rPr>
            </w:pPr>
            <w:r w:rsidRPr="00DB61C2">
              <w:rPr>
                <w:b/>
              </w:rPr>
              <w:t xml:space="preserve">H1 2022-2023 </w:t>
            </w:r>
          </w:p>
        </w:tc>
        <w:tc>
          <w:tcPr>
            <w:tcW w:w="1686" w:type="dxa"/>
            <w:tcBorders>
              <w:top w:val="single" w:sz="4" w:space="0" w:color="FFFFFF" w:themeColor="background1"/>
              <w:left w:val="single" w:sz="4" w:space="0" w:color="FFFFFF" w:themeColor="background1"/>
              <w:bottom w:val="single" w:sz="4" w:space="0" w:color="008F8F"/>
              <w:right w:val="single" w:sz="4" w:space="0" w:color="FFFFFF" w:themeColor="background1"/>
            </w:tcBorders>
            <w:vAlign w:val="bottom"/>
            <w:hideMark/>
          </w:tcPr>
          <w:p w14:paraId="2B961529" w14:textId="22F6AE10" w:rsidR="004C778A" w:rsidRPr="00DB61C2" w:rsidRDefault="007A25F0" w:rsidP="003B0177">
            <w:pPr>
              <w:spacing w:after="120" w:line="240" w:lineRule="auto"/>
              <w:jc w:val="right"/>
              <w:rPr>
                <w:rFonts w:eastAsia="Times New Roman" w:cstheme="minorHAnsi"/>
                <w:b/>
                <w:bCs/>
                <w:color w:val="008F8F"/>
              </w:rPr>
            </w:pPr>
            <w:r w:rsidRPr="00DB61C2">
              <w:rPr>
                <w:b/>
                <w:color w:val="008F8F"/>
              </w:rPr>
              <w:t>H1 2023-2024</w:t>
            </w:r>
          </w:p>
        </w:tc>
      </w:tr>
      <w:tr w:rsidR="007A25F0" w:rsidRPr="00DB61C2" w14:paraId="5D39970C" w14:textId="77777777" w:rsidTr="003B0177">
        <w:trPr>
          <w:trHeight w:val="439"/>
        </w:trPr>
        <w:tc>
          <w:tcPr>
            <w:tcW w:w="5382" w:type="dxa"/>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6FE7B156" w14:textId="77777777" w:rsidR="007A25F0" w:rsidRPr="00DB61C2" w:rsidRDefault="007A25F0" w:rsidP="007A25F0">
            <w:pPr>
              <w:spacing w:after="120" w:line="240" w:lineRule="auto"/>
              <w:rPr>
                <w:rFonts w:eastAsia="Times New Roman" w:cstheme="minorHAnsi"/>
              </w:rPr>
            </w:pPr>
            <w:r w:rsidRPr="00DB61C2">
              <w:t>Recurring operating profit</w:t>
            </w:r>
          </w:p>
        </w:tc>
        <w:tc>
          <w:tcPr>
            <w:tcW w:w="1432"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268B1061" w14:textId="003E6CA8" w:rsidR="007A25F0" w:rsidRPr="00DB61C2" w:rsidRDefault="007A25F0" w:rsidP="007A25F0">
            <w:pPr>
              <w:spacing w:after="120" w:line="240" w:lineRule="auto"/>
              <w:jc w:val="right"/>
              <w:rPr>
                <w:rFonts w:eastAsia="Times New Roman" w:cstheme="minorHAnsi"/>
              </w:rPr>
            </w:pPr>
            <w:r w:rsidRPr="00DB61C2">
              <w:rPr>
                <w:lang w:eastAsia="fr-FR" w:bidi="te-IN"/>
              </w:rPr>
              <w:t>21.5</w:t>
            </w:r>
          </w:p>
        </w:tc>
        <w:tc>
          <w:tcPr>
            <w:tcW w:w="1686"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40000E83" w14:textId="3EEC3559" w:rsidR="007A25F0" w:rsidRPr="00DB61C2" w:rsidRDefault="007A25F0" w:rsidP="007A25F0">
            <w:pPr>
              <w:spacing w:after="120" w:line="240" w:lineRule="auto"/>
              <w:jc w:val="right"/>
              <w:rPr>
                <w:rFonts w:eastAsia="Times New Roman" w:cstheme="minorHAnsi"/>
                <w:color w:val="008F8F"/>
              </w:rPr>
            </w:pPr>
            <w:r w:rsidRPr="00DB61C2">
              <w:rPr>
                <w:b/>
                <w:color w:val="008F8F"/>
              </w:rPr>
              <w:t>21.9</w:t>
            </w:r>
          </w:p>
        </w:tc>
      </w:tr>
      <w:tr w:rsidR="007A25F0" w:rsidRPr="00DB61C2" w14:paraId="0BB66441" w14:textId="77777777" w:rsidTr="00362C9F">
        <w:trPr>
          <w:trHeight w:val="439"/>
        </w:trPr>
        <w:tc>
          <w:tcPr>
            <w:tcW w:w="5382" w:type="dxa"/>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056490F0" w14:textId="77777777" w:rsidR="007A25F0" w:rsidRPr="00DB61C2" w:rsidRDefault="007A25F0" w:rsidP="007A25F0">
            <w:pPr>
              <w:spacing w:after="120" w:line="240" w:lineRule="auto"/>
              <w:rPr>
                <w:rFonts w:eastAsia="Times New Roman" w:cstheme="minorHAnsi"/>
              </w:rPr>
            </w:pPr>
            <w:r w:rsidRPr="00DB61C2">
              <w:t xml:space="preserve"> - Net depreciation, amortization and provisions</w:t>
            </w:r>
          </w:p>
        </w:tc>
        <w:tc>
          <w:tcPr>
            <w:tcW w:w="1432"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7E18F80A" w14:textId="71A51B9D" w:rsidR="007A25F0" w:rsidRPr="00DB61C2" w:rsidRDefault="007A25F0" w:rsidP="007A25F0">
            <w:pPr>
              <w:spacing w:after="120" w:line="240" w:lineRule="auto"/>
              <w:jc w:val="right"/>
              <w:rPr>
                <w:rFonts w:eastAsia="Times New Roman" w:cstheme="minorHAnsi"/>
              </w:rPr>
            </w:pPr>
            <w:r w:rsidRPr="00DB61C2">
              <w:rPr>
                <w:lang w:eastAsia="fr-FR" w:bidi="te-IN"/>
              </w:rPr>
              <w:t>28.4</w:t>
            </w:r>
          </w:p>
        </w:tc>
        <w:tc>
          <w:tcPr>
            <w:tcW w:w="1686"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1EF081F5" w14:textId="2925BB00" w:rsidR="007A25F0" w:rsidRPr="00DB61C2" w:rsidRDefault="007A25F0" w:rsidP="007A25F0">
            <w:pPr>
              <w:spacing w:after="120" w:line="240" w:lineRule="auto"/>
              <w:jc w:val="right"/>
              <w:rPr>
                <w:rFonts w:eastAsia="Times New Roman" w:cstheme="minorHAnsi"/>
              </w:rPr>
            </w:pPr>
            <w:r w:rsidRPr="00DB61C2">
              <w:rPr>
                <w:b/>
                <w:color w:val="008F8F"/>
              </w:rPr>
              <w:t>31.7</w:t>
            </w:r>
          </w:p>
        </w:tc>
      </w:tr>
      <w:tr w:rsidR="007A25F0" w:rsidRPr="00DB61C2" w14:paraId="2D0D14AF" w14:textId="77777777" w:rsidTr="00362C9F">
        <w:trPr>
          <w:trHeight w:val="439"/>
        </w:trPr>
        <w:tc>
          <w:tcPr>
            <w:tcW w:w="5382" w:type="dxa"/>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6F30D9B1" w14:textId="77777777" w:rsidR="007A25F0" w:rsidRPr="00DB61C2" w:rsidRDefault="007A25F0" w:rsidP="007A25F0">
            <w:pPr>
              <w:spacing w:after="120" w:line="240" w:lineRule="auto"/>
              <w:rPr>
                <w:rFonts w:eastAsia="Times New Roman" w:cstheme="minorHAnsi"/>
                <w:b/>
                <w:bCs/>
              </w:rPr>
            </w:pPr>
            <w:r w:rsidRPr="00DB61C2">
              <w:rPr>
                <w:b/>
              </w:rPr>
              <w:t xml:space="preserve"> = EBITDA</w:t>
            </w:r>
          </w:p>
        </w:tc>
        <w:tc>
          <w:tcPr>
            <w:tcW w:w="1432"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401C5177" w14:textId="25C88D00" w:rsidR="007A25F0" w:rsidRPr="00DB61C2" w:rsidRDefault="007A25F0" w:rsidP="007A25F0">
            <w:pPr>
              <w:spacing w:after="120" w:line="240" w:lineRule="auto"/>
              <w:jc w:val="right"/>
              <w:rPr>
                <w:rFonts w:eastAsia="Times New Roman" w:cstheme="minorHAnsi"/>
                <w:b/>
                <w:bCs/>
              </w:rPr>
            </w:pPr>
            <w:r w:rsidRPr="00DB61C2">
              <w:rPr>
                <w:b/>
                <w:lang w:eastAsia="fr-FR" w:bidi="te-IN"/>
              </w:rPr>
              <w:t>49.9</w:t>
            </w:r>
          </w:p>
        </w:tc>
        <w:tc>
          <w:tcPr>
            <w:tcW w:w="1686"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196E06F1" w14:textId="00FCC87C" w:rsidR="007A25F0" w:rsidRPr="00DB61C2" w:rsidRDefault="007A25F0" w:rsidP="007A25F0">
            <w:pPr>
              <w:spacing w:after="120" w:line="240" w:lineRule="auto"/>
              <w:jc w:val="right"/>
              <w:rPr>
                <w:rFonts w:eastAsia="Times New Roman" w:cstheme="minorHAnsi"/>
                <w:b/>
                <w:bCs/>
              </w:rPr>
            </w:pPr>
            <w:r w:rsidRPr="00DB61C2">
              <w:rPr>
                <w:b/>
                <w:color w:val="008F8F"/>
              </w:rPr>
              <w:t>53.6</w:t>
            </w:r>
          </w:p>
        </w:tc>
      </w:tr>
    </w:tbl>
    <w:p w14:paraId="0902A507" w14:textId="77777777" w:rsidR="00362C9F" w:rsidRPr="00DB61C2" w:rsidRDefault="00362C9F" w:rsidP="004C778A">
      <w:pPr>
        <w:spacing w:after="0"/>
        <w:jc w:val="both"/>
        <w:rPr>
          <w:rFonts w:eastAsia="Times New Roman" w:cstheme="minorHAnsi"/>
          <w:b/>
          <w:bCs/>
          <w:color w:val="008F8F"/>
          <w:sz w:val="24"/>
          <w:szCs w:val="24"/>
          <w:lang w:eastAsia="fr-FR"/>
        </w:rPr>
      </w:pPr>
    </w:p>
    <w:p w14:paraId="278E381D" w14:textId="77777777" w:rsidR="00362C9F" w:rsidRPr="00DB61C2" w:rsidRDefault="00362C9F" w:rsidP="004C778A">
      <w:pPr>
        <w:spacing w:after="0"/>
        <w:jc w:val="both"/>
        <w:rPr>
          <w:rFonts w:eastAsia="Times New Roman" w:cstheme="minorHAnsi"/>
          <w:b/>
          <w:bCs/>
          <w:color w:val="008F8F"/>
          <w:sz w:val="24"/>
          <w:szCs w:val="24"/>
          <w:lang w:eastAsia="fr-FR"/>
        </w:rPr>
      </w:pPr>
    </w:p>
    <w:tbl>
      <w:tblPr>
        <w:tblpPr w:leftFromText="141" w:rightFromText="141" w:vertAnchor="text" w:horzAnchor="margin" w:tblpY="76"/>
        <w:tblW w:w="8642"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A0" w:firstRow="1" w:lastRow="0" w:firstColumn="1" w:lastColumn="0" w:noHBand="0" w:noVBand="0"/>
      </w:tblPr>
      <w:tblGrid>
        <w:gridCol w:w="5524"/>
        <w:gridCol w:w="1417"/>
        <w:gridCol w:w="1701"/>
      </w:tblGrid>
      <w:tr w:rsidR="004C778A" w:rsidRPr="00DB61C2" w14:paraId="61265B4C" w14:textId="77777777" w:rsidTr="003B0177">
        <w:trPr>
          <w:trHeight w:val="435"/>
        </w:trPr>
        <w:tc>
          <w:tcPr>
            <w:tcW w:w="5524" w:type="dxa"/>
            <w:tcBorders>
              <w:top w:val="single" w:sz="4" w:space="0" w:color="FFFFFF" w:themeColor="background1"/>
              <w:left w:val="single" w:sz="4" w:space="0" w:color="FFFFFF" w:themeColor="background1"/>
              <w:bottom w:val="single" w:sz="4" w:space="0" w:color="008F8F"/>
              <w:right w:val="single" w:sz="4" w:space="0" w:color="FFFFFF" w:themeColor="background1"/>
            </w:tcBorders>
            <w:noWrap/>
            <w:vAlign w:val="bottom"/>
            <w:hideMark/>
          </w:tcPr>
          <w:p w14:paraId="0096B3B8" w14:textId="77777777" w:rsidR="004C778A" w:rsidRPr="00DB61C2" w:rsidRDefault="004C778A" w:rsidP="003B0177">
            <w:pPr>
              <w:spacing w:after="120" w:line="240" w:lineRule="auto"/>
              <w:rPr>
                <w:rFonts w:eastAsia="Times New Roman" w:cstheme="minorHAnsi"/>
                <w:b/>
                <w:bCs/>
              </w:rPr>
            </w:pPr>
            <w:r w:rsidRPr="00DB61C2">
              <w:rPr>
                <w:b/>
              </w:rPr>
              <w:t>Operating free cash flow (€ millions)</w:t>
            </w:r>
          </w:p>
        </w:tc>
        <w:tc>
          <w:tcPr>
            <w:tcW w:w="1417" w:type="dxa"/>
            <w:tcBorders>
              <w:top w:val="single" w:sz="4" w:space="0" w:color="FFFFFF" w:themeColor="background1"/>
              <w:left w:val="single" w:sz="4" w:space="0" w:color="FFFFFF" w:themeColor="background1"/>
              <w:bottom w:val="single" w:sz="4" w:space="0" w:color="008F8F"/>
              <w:right w:val="single" w:sz="4" w:space="0" w:color="FFFFFF" w:themeColor="background1"/>
            </w:tcBorders>
            <w:vAlign w:val="bottom"/>
          </w:tcPr>
          <w:p w14:paraId="30793E8F" w14:textId="2D3C5BA4" w:rsidR="004C778A" w:rsidRPr="00DB61C2" w:rsidRDefault="007A25F0" w:rsidP="003B0177">
            <w:pPr>
              <w:spacing w:after="120" w:line="240" w:lineRule="auto"/>
              <w:jc w:val="right"/>
              <w:rPr>
                <w:rFonts w:eastAsia="Times New Roman" w:cstheme="minorHAnsi"/>
                <w:b/>
                <w:bCs/>
              </w:rPr>
            </w:pPr>
            <w:r w:rsidRPr="00DB61C2">
              <w:rPr>
                <w:b/>
              </w:rPr>
              <w:t>H1 2022-2023</w:t>
            </w:r>
          </w:p>
        </w:tc>
        <w:tc>
          <w:tcPr>
            <w:tcW w:w="1701" w:type="dxa"/>
            <w:tcBorders>
              <w:top w:val="single" w:sz="4" w:space="0" w:color="FFFFFF" w:themeColor="background1"/>
              <w:left w:val="single" w:sz="4" w:space="0" w:color="FFFFFF" w:themeColor="background1"/>
              <w:bottom w:val="single" w:sz="4" w:space="0" w:color="008F8F"/>
              <w:right w:val="single" w:sz="4" w:space="0" w:color="FFFFFF" w:themeColor="background1"/>
            </w:tcBorders>
            <w:vAlign w:val="bottom"/>
            <w:hideMark/>
          </w:tcPr>
          <w:p w14:paraId="3661CDF1" w14:textId="7D2EAB17" w:rsidR="004C778A" w:rsidRPr="00DB61C2" w:rsidRDefault="007A25F0" w:rsidP="000A6368">
            <w:pPr>
              <w:spacing w:after="120" w:line="240" w:lineRule="auto"/>
              <w:jc w:val="right"/>
              <w:rPr>
                <w:rFonts w:eastAsia="Times New Roman" w:cstheme="minorHAnsi"/>
                <w:b/>
                <w:bCs/>
                <w:color w:val="008F8F"/>
              </w:rPr>
            </w:pPr>
            <w:r w:rsidRPr="00DB61C2">
              <w:rPr>
                <w:b/>
                <w:color w:val="008F8F"/>
              </w:rPr>
              <w:t>H1 2023-2024</w:t>
            </w:r>
          </w:p>
        </w:tc>
      </w:tr>
      <w:tr w:rsidR="007A25F0" w:rsidRPr="00DB61C2" w14:paraId="7AEB51DD" w14:textId="77777777" w:rsidTr="003B0177">
        <w:trPr>
          <w:trHeight w:val="435"/>
        </w:trPr>
        <w:tc>
          <w:tcPr>
            <w:tcW w:w="5524" w:type="dxa"/>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1789525F" w14:textId="77777777" w:rsidR="007A25F0" w:rsidRPr="00DB61C2" w:rsidRDefault="007A25F0" w:rsidP="007A25F0">
            <w:pPr>
              <w:spacing w:after="120" w:line="240" w:lineRule="auto"/>
              <w:rPr>
                <w:rFonts w:eastAsia="Times New Roman" w:cstheme="minorHAnsi"/>
              </w:rPr>
            </w:pPr>
            <w:r w:rsidRPr="00DB61C2">
              <w:t>Cash flows from operating activities</w:t>
            </w:r>
          </w:p>
        </w:tc>
        <w:tc>
          <w:tcPr>
            <w:tcW w:w="1417"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0A29BF3C" w14:textId="319227CD" w:rsidR="007A25F0" w:rsidRPr="00DB61C2" w:rsidRDefault="007A25F0" w:rsidP="007A25F0">
            <w:pPr>
              <w:spacing w:after="120" w:line="240" w:lineRule="auto"/>
              <w:jc w:val="right"/>
              <w:rPr>
                <w:rFonts w:eastAsia="Times New Roman" w:cstheme="minorHAnsi"/>
              </w:rPr>
            </w:pPr>
            <w:r w:rsidRPr="00DB61C2">
              <w:rPr>
                <w:lang w:eastAsia="fr-FR" w:bidi="te-IN"/>
              </w:rPr>
              <w:t>52.0</w:t>
            </w:r>
          </w:p>
        </w:tc>
        <w:tc>
          <w:tcPr>
            <w:tcW w:w="1701"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7E9A2787" w14:textId="082F9B29" w:rsidR="007A25F0" w:rsidRPr="00DB61C2" w:rsidRDefault="007A25F0" w:rsidP="007A25F0">
            <w:pPr>
              <w:spacing w:after="120" w:line="240" w:lineRule="auto"/>
              <w:jc w:val="right"/>
              <w:rPr>
                <w:rFonts w:eastAsia="Times New Roman" w:cstheme="minorHAnsi"/>
                <w:color w:val="008F8F"/>
              </w:rPr>
            </w:pPr>
            <w:r w:rsidRPr="00DB61C2">
              <w:rPr>
                <w:b/>
                <w:color w:val="008F8F"/>
              </w:rPr>
              <w:t>34.3</w:t>
            </w:r>
            <w:r w:rsidRPr="00DB61C2">
              <w:rPr>
                <w:rStyle w:val="Appelnotedebasdep"/>
                <w:rFonts w:eastAsia="Times New Roman" w:cstheme="minorHAnsi"/>
                <w:b/>
                <w:bCs/>
                <w:color w:val="008F8F"/>
              </w:rPr>
              <w:footnoteReference w:id="2"/>
            </w:r>
          </w:p>
        </w:tc>
      </w:tr>
      <w:tr w:rsidR="007A25F0" w:rsidRPr="00DB61C2" w14:paraId="66B40701" w14:textId="77777777" w:rsidTr="003B0177">
        <w:trPr>
          <w:trHeight w:val="435"/>
        </w:trPr>
        <w:tc>
          <w:tcPr>
            <w:tcW w:w="5524" w:type="dxa"/>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30B073D0" w14:textId="77777777" w:rsidR="007A25F0" w:rsidRPr="00DB61C2" w:rsidRDefault="007A25F0" w:rsidP="007A25F0">
            <w:pPr>
              <w:spacing w:after="120" w:line="240" w:lineRule="auto"/>
              <w:rPr>
                <w:rFonts w:eastAsia="Times New Roman" w:cstheme="minorHAnsi"/>
              </w:rPr>
            </w:pPr>
            <w:r w:rsidRPr="00DB61C2">
              <w:t xml:space="preserve"> - Cash flows from/(used in) financing activities</w:t>
            </w:r>
          </w:p>
        </w:tc>
        <w:tc>
          <w:tcPr>
            <w:tcW w:w="1417"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7C57B505" w14:textId="5C023BCC" w:rsidR="007A25F0" w:rsidRPr="00DB61C2" w:rsidRDefault="007A25F0" w:rsidP="007A25F0">
            <w:pPr>
              <w:spacing w:after="120" w:line="240" w:lineRule="auto"/>
              <w:jc w:val="right"/>
              <w:rPr>
                <w:rFonts w:eastAsia="Times New Roman" w:cstheme="minorHAnsi"/>
              </w:rPr>
            </w:pPr>
            <w:r w:rsidRPr="00DB61C2">
              <w:rPr>
                <w:lang w:eastAsia="fr-FR" w:bidi="te-IN"/>
              </w:rPr>
              <w:t>-25.3</w:t>
            </w:r>
          </w:p>
        </w:tc>
        <w:tc>
          <w:tcPr>
            <w:tcW w:w="1701"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4BC88570" w14:textId="73D084D2" w:rsidR="007A25F0" w:rsidRPr="00DB61C2" w:rsidRDefault="007A25F0" w:rsidP="007A25F0">
            <w:pPr>
              <w:spacing w:after="120" w:line="240" w:lineRule="auto"/>
              <w:jc w:val="right"/>
              <w:rPr>
                <w:rFonts w:eastAsia="Times New Roman" w:cstheme="minorHAnsi"/>
                <w:color w:val="008F8F"/>
              </w:rPr>
            </w:pPr>
            <w:r w:rsidRPr="00DB61C2">
              <w:rPr>
                <w:b/>
                <w:color w:val="008F8F"/>
              </w:rPr>
              <w:t>-25.7</w:t>
            </w:r>
          </w:p>
        </w:tc>
      </w:tr>
      <w:tr w:rsidR="007A25F0" w:rsidRPr="00DB61C2" w14:paraId="77F42CD9" w14:textId="77777777" w:rsidTr="003B0177">
        <w:trPr>
          <w:trHeight w:val="435"/>
        </w:trPr>
        <w:tc>
          <w:tcPr>
            <w:tcW w:w="5524" w:type="dxa"/>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237DB218" w14:textId="77777777" w:rsidR="007A25F0" w:rsidRPr="00DB61C2" w:rsidRDefault="007A25F0" w:rsidP="007A25F0">
            <w:pPr>
              <w:spacing w:after="120" w:line="240" w:lineRule="auto"/>
              <w:rPr>
                <w:rFonts w:eastAsia="Times New Roman" w:cstheme="minorHAnsi"/>
              </w:rPr>
            </w:pPr>
            <w:r w:rsidRPr="00DB61C2">
              <w:t xml:space="preserve"> - Lease liabilities repaid (IFRS 16)</w:t>
            </w:r>
          </w:p>
        </w:tc>
        <w:tc>
          <w:tcPr>
            <w:tcW w:w="1417"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2825F872" w14:textId="579DC61E" w:rsidR="007A25F0" w:rsidRPr="00DB61C2" w:rsidRDefault="007A25F0" w:rsidP="007A25F0">
            <w:pPr>
              <w:spacing w:after="120" w:line="240" w:lineRule="auto"/>
              <w:jc w:val="right"/>
              <w:rPr>
                <w:rFonts w:eastAsia="Times New Roman" w:cstheme="minorHAnsi"/>
              </w:rPr>
            </w:pPr>
            <w:r w:rsidRPr="00DB61C2">
              <w:rPr>
                <w:lang w:eastAsia="fr-FR" w:bidi="te-IN"/>
              </w:rPr>
              <w:t>-9.1</w:t>
            </w:r>
          </w:p>
        </w:tc>
        <w:tc>
          <w:tcPr>
            <w:tcW w:w="1701"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53B8E9F5" w14:textId="6E490647" w:rsidR="007A25F0" w:rsidRPr="00DB61C2" w:rsidRDefault="007A25F0" w:rsidP="007A25F0">
            <w:pPr>
              <w:spacing w:after="120" w:line="240" w:lineRule="auto"/>
              <w:jc w:val="right"/>
              <w:rPr>
                <w:rFonts w:eastAsia="Times New Roman" w:cstheme="minorHAnsi"/>
                <w:color w:val="008F8F"/>
              </w:rPr>
            </w:pPr>
            <w:r w:rsidRPr="00DB61C2">
              <w:rPr>
                <w:b/>
                <w:color w:val="008F8F"/>
              </w:rPr>
              <w:t>-10.8</w:t>
            </w:r>
          </w:p>
        </w:tc>
      </w:tr>
      <w:tr w:rsidR="007A25F0" w:rsidRPr="00DB61C2" w14:paraId="7888EB69" w14:textId="77777777" w:rsidTr="003B0177">
        <w:trPr>
          <w:trHeight w:val="435"/>
        </w:trPr>
        <w:tc>
          <w:tcPr>
            <w:tcW w:w="5524" w:type="dxa"/>
            <w:tcBorders>
              <w:top w:val="single" w:sz="4" w:space="0" w:color="008F8F"/>
              <w:left w:val="single" w:sz="4" w:space="0" w:color="FFFFFF" w:themeColor="background1"/>
              <w:bottom w:val="single" w:sz="4" w:space="0" w:color="008F8F"/>
              <w:right w:val="single" w:sz="4" w:space="0" w:color="FFFFFF" w:themeColor="background1"/>
            </w:tcBorders>
            <w:noWrap/>
            <w:vAlign w:val="bottom"/>
          </w:tcPr>
          <w:p w14:paraId="6D6980A8" w14:textId="77777777" w:rsidR="007A25F0" w:rsidRPr="00DB61C2" w:rsidRDefault="007A25F0" w:rsidP="007A25F0">
            <w:pPr>
              <w:spacing w:after="120" w:line="240" w:lineRule="auto"/>
              <w:rPr>
                <w:rFonts w:eastAsia="Times New Roman" w:cstheme="minorHAnsi"/>
                <w:b/>
                <w:bCs/>
              </w:rPr>
            </w:pPr>
            <w:r w:rsidRPr="00DB61C2">
              <w:rPr>
                <w:b/>
              </w:rPr>
              <w:t xml:space="preserve"> = Operating free cash flow</w:t>
            </w:r>
          </w:p>
        </w:tc>
        <w:tc>
          <w:tcPr>
            <w:tcW w:w="1417"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0379A8BE" w14:textId="0304D8CD" w:rsidR="007A25F0" w:rsidRPr="00DB61C2" w:rsidRDefault="007A25F0" w:rsidP="007A25F0">
            <w:pPr>
              <w:spacing w:after="120" w:line="240" w:lineRule="auto"/>
              <w:jc w:val="right"/>
              <w:rPr>
                <w:rFonts w:eastAsia="Times New Roman" w:cstheme="minorHAnsi"/>
                <w:b/>
                <w:bCs/>
              </w:rPr>
            </w:pPr>
            <w:r w:rsidRPr="00DB61C2">
              <w:rPr>
                <w:b/>
                <w:lang w:eastAsia="fr-FR" w:bidi="te-IN"/>
              </w:rPr>
              <w:t>17.6</w:t>
            </w:r>
          </w:p>
        </w:tc>
        <w:tc>
          <w:tcPr>
            <w:tcW w:w="1701" w:type="dxa"/>
            <w:tcBorders>
              <w:top w:val="single" w:sz="4" w:space="0" w:color="008F8F"/>
              <w:left w:val="single" w:sz="4" w:space="0" w:color="FFFFFF" w:themeColor="background1"/>
              <w:bottom w:val="single" w:sz="4" w:space="0" w:color="008F8F"/>
              <w:right w:val="single" w:sz="4" w:space="0" w:color="FFFFFF" w:themeColor="background1"/>
            </w:tcBorders>
            <w:vAlign w:val="bottom"/>
          </w:tcPr>
          <w:p w14:paraId="6D4B304D" w14:textId="702F1069" w:rsidR="007A25F0" w:rsidRPr="00DB61C2" w:rsidRDefault="007A25F0" w:rsidP="007A25F0">
            <w:pPr>
              <w:spacing w:after="120" w:line="240" w:lineRule="auto"/>
              <w:jc w:val="right"/>
              <w:rPr>
                <w:rFonts w:eastAsia="Times New Roman" w:cstheme="minorHAnsi"/>
                <w:b/>
                <w:bCs/>
                <w:color w:val="008F8F"/>
              </w:rPr>
            </w:pPr>
            <w:r w:rsidRPr="00DB61C2">
              <w:rPr>
                <w:b/>
                <w:color w:val="008F8F"/>
              </w:rPr>
              <w:t>-2.2</w:t>
            </w:r>
          </w:p>
        </w:tc>
      </w:tr>
    </w:tbl>
    <w:p w14:paraId="7B119E67" w14:textId="77777777" w:rsidR="00BA6D5C" w:rsidRPr="00DB61C2" w:rsidRDefault="00BA6D5C" w:rsidP="00BA6D5C">
      <w:pPr>
        <w:shd w:val="clear" w:color="auto" w:fill="FFFFFF"/>
        <w:spacing w:after="150" w:line="240" w:lineRule="auto"/>
        <w:jc w:val="both"/>
        <w:rPr>
          <w:rFonts w:ascii="Roboto" w:eastAsia="Times New Roman" w:hAnsi="Roboto" w:cs="Times New Roman"/>
          <w:color w:val="333333"/>
          <w:sz w:val="26"/>
          <w:szCs w:val="26"/>
        </w:rPr>
      </w:pPr>
      <w:r w:rsidRPr="00DB61C2">
        <w:rPr>
          <w:rFonts w:ascii="Roboto" w:hAnsi="Roboto"/>
          <w:color w:val="333333"/>
          <w:sz w:val="26"/>
        </w:rPr>
        <w:t> </w:t>
      </w:r>
    </w:p>
    <w:p w14:paraId="26BDCDB3" w14:textId="77777777" w:rsidR="00BA6D5C" w:rsidRPr="00DB61C2" w:rsidRDefault="00BA6D5C" w:rsidP="00BA6D5C">
      <w:pPr>
        <w:shd w:val="clear" w:color="auto" w:fill="FFFFFF"/>
        <w:spacing w:after="150" w:line="240" w:lineRule="auto"/>
        <w:jc w:val="both"/>
        <w:rPr>
          <w:rFonts w:ascii="Roboto" w:eastAsia="Times New Roman" w:hAnsi="Roboto" w:cs="Times New Roman"/>
          <w:color w:val="333333"/>
          <w:sz w:val="26"/>
          <w:szCs w:val="26"/>
        </w:rPr>
      </w:pPr>
      <w:r w:rsidRPr="00DB61C2">
        <w:rPr>
          <w:rFonts w:ascii="Roboto" w:hAnsi="Roboto"/>
          <w:color w:val="333333"/>
          <w:sz w:val="26"/>
        </w:rPr>
        <w:t> </w:t>
      </w:r>
    </w:p>
    <w:p w14:paraId="5A423E38" w14:textId="5AA79C1D" w:rsidR="003E1D10" w:rsidRPr="00DB61C2" w:rsidRDefault="003E1D10">
      <w:pPr>
        <w:rPr>
          <w:rFonts w:eastAsia="Times New Roman" w:cstheme="minorHAnsi"/>
          <w:sz w:val="24"/>
          <w:szCs w:val="24"/>
        </w:rPr>
      </w:pPr>
      <w:r w:rsidRPr="00DB61C2">
        <w:br w:type="page"/>
      </w:r>
    </w:p>
    <w:p w14:paraId="6B1CF35A" w14:textId="3FACA089" w:rsidR="00AA0353" w:rsidRPr="00DB61C2" w:rsidRDefault="003E1D10" w:rsidP="00565D90">
      <w:pPr>
        <w:spacing w:after="0" w:line="240" w:lineRule="auto"/>
        <w:jc w:val="both"/>
        <w:rPr>
          <w:rFonts w:eastAsia="Times New Roman" w:cstheme="minorHAnsi"/>
          <w:b/>
          <w:bCs/>
          <w:sz w:val="24"/>
          <w:szCs w:val="24"/>
        </w:rPr>
      </w:pPr>
      <w:r w:rsidRPr="00DB61C2">
        <w:rPr>
          <w:b/>
          <w:sz w:val="24"/>
          <w:lang w:eastAsia="fr-FR"/>
        </w:rPr>
        <w:lastRenderedPageBreak/>
        <w:t>Consolidated statements at 30 June 2023</w:t>
      </w:r>
    </w:p>
    <w:p w14:paraId="62368235" w14:textId="77777777" w:rsidR="007A25F0" w:rsidRPr="00DB61C2" w:rsidRDefault="007A25F0" w:rsidP="003E1D10">
      <w:pPr>
        <w:pStyle w:val="Titre1"/>
        <w:keepLines w:val="0"/>
        <w:spacing w:before="0" w:line="240" w:lineRule="auto"/>
        <w:jc w:val="left"/>
        <w:rPr>
          <w:rFonts w:ascii="Calibri" w:eastAsia="Times New Roman" w:hAnsi="Calibri" w:cs="Calibri"/>
          <w:b/>
          <w:color w:val="auto"/>
          <w:sz w:val="24"/>
          <w:szCs w:val="24"/>
          <w:lang w:eastAsia="fr-FR"/>
        </w:rPr>
      </w:pPr>
    </w:p>
    <w:p w14:paraId="519EBEBA" w14:textId="7EB0DDB6" w:rsidR="003E1D10" w:rsidRDefault="003E1D10" w:rsidP="003E1D10">
      <w:pPr>
        <w:pStyle w:val="Titre1"/>
        <w:keepLines w:val="0"/>
        <w:spacing w:before="0" w:line="240" w:lineRule="auto"/>
        <w:jc w:val="left"/>
        <w:rPr>
          <w:rFonts w:ascii="Calibri" w:hAnsi="Calibri"/>
          <w:b/>
          <w:color w:val="auto"/>
          <w:sz w:val="24"/>
          <w:lang w:eastAsia="fr-FR"/>
        </w:rPr>
      </w:pPr>
      <w:r w:rsidRPr="00DB61C2">
        <w:rPr>
          <w:rFonts w:ascii="Calibri" w:hAnsi="Calibri"/>
          <w:b/>
          <w:color w:val="auto"/>
          <w:sz w:val="24"/>
          <w:lang w:eastAsia="fr-FR"/>
        </w:rPr>
        <w:t>Balance Sheet</w:t>
      </w:r>
    </w:p>
    <w:tbl>
      <w:tblPr>
        <w:tblW w:w="8931" w:type="dxa"/>
        <w:tblCellMar>
          <w:left w:w="70" w:type="dxa"/>
          <w:right w:w="70" w:type="dxa"/>
        </w:tblCellMar>
        <w:tblLook w:val="04A0" w:firstRow="1" w:lastRow="0" w:firstColumn="1" w:lastColumn="0" w:noHBand="0" w:noVBand="1"/>
      </w:tblPr>
      <w:tblGrid>
        <w:gridCol w:w="5694"/>
        <w:gridCol w:w="1646"/>
        <w:gridCol w:w="1591"/>
      </w:tblGrid>
      <w:tr w:rsidR="00B00ACA" w:rsidRPr="0022349C" w14:paraId="665229EB" w14:textId="77777777" w:rsidTr="00C21F49">
        <w:trPr>
          <w:trHeight w:val="290"/>
        </w:trPr>
        <w:tc>
          <w:tcPr>
            <w:tcW w:w="5728" w:type="dxa"/>
            <w:tcBorders>
              <w:top w:val="single" w:sz="4" w:space="0" w:color="7E8083"/>
              <w:left w:val="nil"/>
              <w:bottom w:val="single" w:sz="4" w:space="0" w:color="7E8083"/>
              <w:right w:val="nil"/>
            </w:tcBorders>
            <w:shd w:val="clear" w:color="auto" w:fill="auto"/>
            <w:vAlign w:val="center"/>
            <w:hideMark/>
          </w:tcPr>
          <w:p w14:paraId="17554EF4" w14:textId="77777777" w:rsidR="00B00ACA" w:rsidRPr="0022349C" w:rsidRDefault="00B00ACA" w:rsidP="00C21F49">
            <w:pPr>
              <w:spacing w:after="0" w:line="240" w:lineRule="auto"/>
              <w:jc w:val="center"/>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 xml:space="preserve">ACTIF </w:t>
            </w:r>
            <w:r w:rsidRPr="0022349C">
              <w:rPr>
                <w:rFonts w:ascii="Tahoma" w:eastAsia="Times New Roman" w:hAnsi="Tahoma" w:cs="Tahoma"/>
                <w:i/>
                <w:iCs/>
                <w:color w:val="7A0000"/>
                <w:sz w:val="16"/>
                <w:szCs w:val="16"/>
                <w:lang w:eastAsia="fr-FR"/>
              </w:rPr>
              <w:t>(</w:t>
            </w:r>
            <w:proofErr w:type="spellStart"/>
            <w:r w:rsidRPr="0022349C">
              <w:rPr>
                <w:rFonts w:ascii="Tahoma" w:eastAsia="Times New Roman" w:hAnsi="Tahoma" w:cs="Tahoma"/>
                <w:i/>
                <w:iCs/>
                <w:color w:val="7A0000"/>
                <w:sz w:val="16"/>
                <w:szCs w:val="16"/>
                <w:lang w:eastAsia="fr-FR"/>
              </w:rPr>
              <w:t>en</w:t>
            </w:r>
            <w:proofErr w:type="spellEnd"/>
            <w:r w:rsidRPr="0022349C">
              <w:rPr>
                <w:rFonts w:ascii="Tahoma" w:eastAsia="Times New Roman" w:hAnsi="Tahoma" w:cs="Tahoma"/>
                <w:i/>
                <w:iCs/>
                <w:color w:val="7A0000"/>
                <w:sz w:val="16"/>
                <w:szCs w:val="16"/>
                <w:lang w:eastAsia="fr-FR"/>
              </w:rPr>
              <w:t xml:space="preserve"> </w:t>
            </w:r>
            <w:proofErr w:type="spellStart"/>
            <w:r w:rsidRPr="0022349C">
              <w:rPr>
                <w:rFonts w:ascii="Tahoma" w:eastAsia="Times New Roman" w:hAnsi="Tahoma" w:cs="Tahoma"/>
                <w:i/>
                <w:iCs/>
                <w:color w:val="7A0000"/>
                <w:sz w:val="16"/>
                <w:szCs w:val="16"/>
                <w:lang w:eastAsia="fr-FR"/>
              </w:rPr>
              <w:t>milliers</w:t>
            </w:r>
            <w:proofErr w:type="spellEnd"/>
            <w:r w:rsidRPr="0022349C">
              <w:rPr>
                <w:rFonts w:ascii="Tahoma" w:eastAsia="Times New Roman" w:hAnsi="Tahoma" w:cs="Tahoma"/>
                <w:i/>
                <w:iCs/>
                <w:color w:val="7A0000"/>
                <w:sz w:val="16"/>
                <w:szCs w:val="16"/>
                <w:lang w:eastAsia="fr-FR"/>
              </w:rPr>
              <w:t xml:space="preserve"> </w:t>
            </w:r>
            <w:proofErr w:type="spellStart"/>
            <w:r w:rsidRPr="0022349C">
              <w:rPr>
                <w:rFonts w:ascii="Tahoma" w:eastAsia="Times New Roman" w:hAnsi="Tahoma" w:cs="Tahoma"/>
                <w:i/>
                <w:iCs/>
                <w:color w:val="7A0000"/>
                <w:sz w:val="16"/>
                <w:szCs w:val="16"/>
                <w:lang w:eastAsia="fr-FR"/>
              </w:rPr>
              <w:t>d’euros</w:t>
            </w:r>
            <w:proofErr w:type="spellEnd"/>
            <w:r w:rsidRPr="0022349C">
              <w:rPr>
                <w:rFonts w:ascii="Tahoma" w:eastAsia="Times New Roman" w:hAnsi="Tahoma" w:cs="Tahoma"/>
                <w:i/>
                <w:iCs/>
                <w:color w:val="7A0000"/>
                <w:sz w:val="16"/>
                <w:szCs w:val="16"/>
                <w:lang w:eastAsia="fr-FR"/>
              </w:rPr>
              <w:t>)</w:t>
            </w:r>
          </w:p>
        </w:tc>
        <w:tc>
          <w:tcPr>
            <w:tcW w:w="1646" w:type="dxa"/>
            <w:tcBorders>
              <w:top w:val="single" w:sz="4" w:space="0" w:color="7E8083"/>
              <w:left w:val="nil"/>
              <w:bottom w:val="single" w:sz="4" w:space="0" w:color="7E8083"/>
              <w:right w:val="nil"/>
            </w:tcBorders>
            <w:shd w:val="clear" w:color="000000" w:fill="D7E1E1"/>
            <w:vAlign w:val="bottom"/>
            <w:hideMark/>
          </w:tcPr>
          <w:p w14:paraId="3EC2A56E" w14:textId="77777777" w:rsidR="00B00ACA" w:rsidRPr="0022349C" w:rsidRDefault="00B00ACA" w:rsidP="00C21F49">
            <w:pPr>
              <w:spacing w:after="0" w:line="240" w:lineRule="auto"/>
              <w:jc w:val="center"/>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31/12/2023</w:t>
            </w:r>
          </w:p>
        </w:tc>
        <w:tc>
          <w:tcPr>
            <w:tcW w:w="1557" w:type="dxa"/>
            <w:tcBorders>
              <w:top w:val="single" w:sz="4" w:space="0" w:color="7E8083"/>
              <w:left w:val="nil"/>
              <w:bottom w:val="single" w:sz="4" w:space="0" w:color="7E8083"/>
              <w:right w:val="nil"/>
            </w:tcBorders>
            <w:shd w:val="clear" w:color="auto" w:fill="auto"/>
            <w:vAlign w:val="bottom"/>
            <w:hideMark/>
          </w:tcPr>
          <w:p w14:paraId="4C514F0B" w14:textId="77777777" w:rsidR="00B00ACA" w:rsidRPr="0022349C" w:rsidRDefault="00B00ACA" w:rsidP="00C21F49">
            <w:pPr>
              <w:spacing w:after="0" w:line="240" w:lineRule="auto"/>
              <w:jc w:val="center"/>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30/06/2023</w:t>
            </w:r>
          </w:p>
        </w:tc>
      </w:tr>
      <w:tr w:rsidR="00B00ACA" w:rsidRPr="0022349C" w14:paraId="7CE58C3C" w14:textId="77777777" w:rsidTr="00C21F49">
        <w:trPr>
          <w:trHeight w:val="290"/>
        </w:trPr>
        <w:tc>
          <w:tcPr>
            <w:tcW w:w="5728" w:type="dxa"/>
            <w:tcBorders>
              <w:top w:val="nil"/>
              <w:left w:val="nil"/>
              <w:bottom w:val="single" w:sz="4" w:space="0" w:color="7E8083"/>
              <w:right w:val="nil"/>
            </w:tcBorders>
            <w:shd w:val="clear" w:color="auto" w:fill="auto"/>
            <w:vAlign w:val="center"/>
            <w:hideMark/>
          </w:tcPr>
          <w:p w14:paraId="791EFCCD" w14:textId="77777777" w:rsidR="00B00ACA" w:rsidRPr="0022349C" w:rsidRDefault="00B00ACA" w:rsidP="00C21F49">
            <w:pPr>
              <w:spacing w:after="0" w:line="240" w:lineRule="auto"/>
              <w:ind w:firstLineChars="100" w:firstLine="200"/>
              <w:rPr>
                <w:rFonts w:ascii="Tahoma" w:eastAsia="Times New Roman" w:hAnsi="Tahoma" w:cs="Tahoma"/>
                <w:color w:val="7A0000"/>
                <w:sz w:val="20"/>
                <w:szCs w:val="20"/>
                <w:lang w:eastAsia="fr-FR"/>
              </w:rPr>
            </w:pPr>
            <w:proofErr w:type="spellStart"/>
            <w:r w:rsidRPr="0022349C">
              <w:rPr>
                <w:rFonts w:ascii="Tahoma" w:eastAsia="Times New Roman" w:hAnsi="Tahoma" w:cs="Tahoma"/>
                <w:color w:val="7A0000"/>
                <w:sz w:val="20"/>
                <w:szCs w:val="20"/>
                <w:lang w:eastAsia="fr-FR"/>
              </w:rPr>
              <w:t>Actifs</w:t>
            </w:r>
            <w:proofErr w:type="spellEnd"/>
            <w:r w:rsidRPr="0022349C">
              <w:rPr>
                <w:rFonts w:ascii="Tahoma" w:eastAsia="Times New Roman" w:hAnsi="Tahoma" w:cs="Tahoma"/>
                <w:color w:val="7A0000"/>
                <w:sz w:val="20"/>
                <w:szCs w:val="20"/>
                <w:lang w:eastAsia="fr-FR"/>
              </w:rPr>
              <w:t xml:space="preserve"> non courants</w:t>
            </w:r>
          </w:p>
        </w:tc>
        <w:tc>
          <w:tcPr>
            <w:tcW w:w="1646" w:type="dxa"/>
            <w:tcBorders>
              <w:top w:val="nil"/>
              <w:left w:val="nil"/>
              <w:bottom w:val="single" w:sz="4" w:space="0" w:color="7E8083"/>
              <w:right w:val="nil"/>
            </w:tcBorders>
            <w:shd w:val="clear" w:color="000000" w:fill="D7E1E1"/>
            <w:vAlign w:val="bottom"/>
            <w:hideMark/>
          </w:tcPr>
          <w:p w14:paraId="34D53BE9"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 xml:space="preserve">450 465  </w:t>
            </w:r>
          </w:p>
        </w:tc>
        <w:tc>
          <w:tcPr>
            <w:tcW w:w="1557" w:type="dxa"/>
            <w:tcBorders>
              <w:top w:val="nil"/>
              <w:left w:val="nil"/>
              <w:bottom w:val="single" w:sz="4" w:space="0" w:color="7E8083"/>
              <w:right w:val="nil"/>
            </w:tcBorders>
            <w:shd w:val="clear" w:color="auto" w:fill="auto"/>
            <w:vAlign w:val="bottom"/>
            <w:hideMark/>
          </w:tcPr>
          <w:p w14:paraId="736821CC"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 xml:space="preserve">460 668  </w:t>
            </w:r>
          </w:p>
        </w:tc>
      </w:tr>
      <w:tr w:rsidR="00B00ACA" w:rsidRPr="0022349C" w14:paraId="6B840B2D" w14:textId="77777777" w:rsidTr="00C21F49">
        <w:trPr>
          <w:trHeight w:val="290"/>
        </w:trPr>
        <w:tc>
          <w:tcPr>
            <w:tcW w:w="5728" w:type="dxa"/>
            <w:tcBorders>
              <w:top w:val="nil"/>
              <w:left w:val="nil"/>
              <w:bottom w:val="nil"/>
              <w:right w:val="nil"/>
            </w:tcBorders>
            <w:shd w:val="clear" w:color="auto" w:fill="auto"/>
            <w:vAlign w:val="center"/>
            <w:hideMark/>
          </w:tcPr>
          <w:p w14:paraId="0D41E731"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Goodwill</w:t>
            </w:r>
          </w:p>
        </w:tc>
        <w:tc>
          <w:tcPr>
            <w:tcW w:w="1646" w:type="dxa"/>
            <w:tcBorders>
              <w:top w:val="nil"/>
              <w:left w:val="nil"/>
              <w:bottom w:val="nil"/>
              <w:right w:val="nil"/>
            </w:tcBorders>
            <w:shd w:val="clear" w:color="000000" w:fill="D7E1E1"/>
            <w:vAlign w:val="bottom"/>
            <w:hideMark/>
          </w:tcPr>
          <w:p w14:paraId="344EECFD"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216 993  </w:t>
            </w:r>
          </w:p>
        </w:tc>
        <w:tc>
          <w:tcPr>
            <w:tcW w:w="1557" w:type="dxa"/>
            <w:tcBorders>
              <w:top w:val="nil"/>
              <w:left w:val="nil"/>
              <w:bottom w:val="nil"/>
              <w:right w:val="nil"/>
            </w:tcBorders>
            <w:shd w:val="clear" w:color="auto" w:fill="auto"/>
            <w:vAlign w:val="bottom"/>
            <w:hideMark/>
          </w:tcPr>
          <w:p w14:paraId="52E66380"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225 660  </w:t>
            </w:r>
          </w:p>
        </w:tc>
      </w:tr>
      <w:tr w:rsidR="00B00ACA" w:rsidRPr="0022349C" w14:paraId="5878B22D" w14:textId="77777777" w:rsidTr="00C21F49">
        <w:trPr>
          <w:trHeight w:val="290"/>
        </w:trPr>
        <w:tc>
          <w:tcPr>
            <w:tcW w:w="5728" w:type="dxa"/>
            <w:tcBorders>
              <w:top w:val="nil"/>
              <w:left w:val="nil"/>
              <w:bottom w:val="nil"/>
              <w:right w:val="nil"/>
            </w:tcBorders>
            <w:shd w:val="clear" w:color="auto" w:fill="auto"/>
            <w:vAlign w:val="center"/>
            <w:hideMark/>
          </w:tcPr>
          <w:p w14:paraId="43ADA9D8"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Droits d'utilisation des actifs loués</w:t>
            </w:r>
          </w:p>
        </w:tc>
        <w:tc>
          <w:tcPr>
            <w:tcW w:w="1646" w:type="dxa"/>
            <w:tcBorders>
              <w:top w:val="nil"/>
              <w:left w:val="nil"/>
              <w:bottom w:val="nil"/>
              <w:right w:val="nil"/>
            </w:tcBorders>
            <w:shd w:val="clear" w:color="000000" w:fill="D7E1E1"/>
            <w:vAlign w:val="bottom"/>
            <w:hideMark/>
          </w:tcPr>
          <w:p w14:paraId="78599DE7"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72 411  </w:t>
            </w:r>
          </w:p>
        </w:tc>
        <w:tc>
          <w:tcPr>
            <w:tcW w:w="1557" w:type="dxa"/>
            <w:tcBorders>
              <w:top w:val="nil"/>
              <w:left w:val="nil"/>
              <w:bottom w:val="nil"/>
              <w:right w:val="nil"/>
            </w:tcBorders>
            <w:shd w:val="clear" w:color="auto" w:fill="auto"/>
            <w:vAlign w:val="bottom"/>
            <w:hideMark/>
          </w:tcPr>
          <w:p w14:paraId="210BB057"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74 119  </w:t>
            </w:r>
          </w:p>
        </w:tc>
      </w:tr>
      <w:tr w:rsidR="00B00ACA" w:rsidRPr="0022349C" w14:paraId="505644EF" w14:textId="77777777" w:rsidTr="00C21F49">
        <w:trPr>
          <w:trHeight w:val="290"/>
        </w:trPr>
        <w:tc>
          <w:tcPr>
            <w:tcW w:w="5728" w:type="dxa"/>
            <w:tcBorders>
              <w:top w:val="nil"/>
              <w:left w:val="nil"/>
              <w:bottom w:val="nil"/>
              <w:right w:val="nil"/>
            </w:tcBorders>
            <w:shd w:val="clear" w:color="auto" w:fill="auto"/>
            <w:vAlign w:val="center"/>
            <w:hideMark/>
          </w:tcPr>
          <w:p w14:paraId="29584782"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Autres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actifs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incorporels</w:t>
            </w:r>
            <w:proofErr w:type="spellEnd"/>
          </w:p>
        </w:tc>
        <w:tc>
          <w:tcPr>
            <w:tcW w:w="1646" w:type="dxa"/>
            <w:tcBorders>
              <w:top w:val="nil"/>
              <w:left w:val="nil"/>
              <w:bottom w:val="nil"/>
              <w:right w:val="nil"/>
            </w:tcBorders>
            <w:shd w:val="clear" w:color="000000" w:fill="D7E1E1"/>
            <w:vAlign w:val="bottom"/>
            <w:hideMark/>
          </w:tcPr>
          <w:p w14:paraId="3ABC13EE"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7 903  </w:t>
            </w:r>
          </w:p>
        </w:tc>
        <w:tc>
          <w:tcPr>
            <w:tcW w:w="1557" w:type="dxa"/>
            <w:tcBorders>
              <w:top w:val="nil"/>
              <w:left w:val="nil"/>
              <w:bottom w:val="nil"/>
              <w:right w:val="nil"/>
            </w:tcBorders>
            <w:shd w:val="clear" w:color="auto" w:fill="auto"/>
            <w:vAlign w:val="bottom"/>
            <w:hideMark/>
          </w:tcPr>
          <w:p w14:paraId="5C5552CC"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8 212  </w:t>
            </w:r>
          </w:p>
        </w:tc>
      </w:tr>
      <w:tr w:rsidR="00B00ACA" w:rsidRPr="0022349C" w14:paraId="13F360E3" w14:textId="77777777" w:rsidTr="00C21F49">
        <w:trPr>
          <w:trHeight w:val="290"/>
        </w:trPr>
        <w:tc>
          <w:tcPr>
            <w:tcW w:w="5728" w:type="dxa"/>
            <w:tcBorders>
              <w:top w:val="nil"/>
              <w:left w:val="nil"/>
              <w:bottom w:val="nil"/>
              <w:right w:val="nil"/>
            </w:tcBorders>
            <w:shd w:val="clear" w:color="auto" w:fill="auto"/>
            <w:vAlign w:val="center"/>
            <w:hideMark/>
          </w:tcPr>
          <w:p w14:paraId="189F6316"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Actifs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corporels</w:t>
            </w:r>
            <w:proofErr w:type="spellEnd"/>
          </w:p>
        </w:tc>
        <w:tc>
          <w:tcPr>
            <w:tcW w:w="1646" w:type="dxa"/>
            <w:tcBorders>
              <w:top w:val="nil"/>
              <w:left w:val="nil"/>
              <w:bottom w:val="nil"/>
              <w:right w:val="nil"/>
            </w:tcBorders>
            <w:shd w:val="clear" w:color="000000" w:fill="D7E1E1"/>
            <w:vAlign w:val="bottom"/>
            <w:hideMark/>
          </w:tcPr>
          <w:p w14:paraId="35A909CD"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140 607  </w:t>
            </w:r>
          </w:p>
        </w:tc>
        <w:tc>
          <w:tcPr>
            <w:tcW w:w="1557" w:type="dxa"/>
            <w:tcBorders>
              <w:top w:val="nil"/>
              <w:left w:val="nil"/>
              <w:bottom w:val="nil"/>
              <w:right w:val="nil"/>
            </w:tcBorders>
            <w:shd w:val="clear" w:color="auto" w:fill="auto"/>
            <w:vAlign w:val="bottom"/>
            <w:hideMark/>
          </w:tcPr>
          <w:p w14:paraId="30E9C9E7"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136 081  </w:t>
            </w:r>
          </w:p>
        </w:tc>
      </w:tr>
      <w:tr w:rsidR="00B00ACA" w:rsidRPr="0022349C" w14:paraId="68D921AF" w14:textId="77777777" w:rsidTr="00C21F49">
        <w:trPr>
          <w:trHeight w:val="290"/>
        </w:trPr>
        <w:tc>
          <w:tcPr>
            <w:tcW w:w="5728" w:type="dxa"/>
            <w:tcBorders>
              <w:top w:val="nil"/>
              <w:left w:val="nil"/>
              <w:bottom w:val="nil"/>
              <w:right w:val="nil"/>
            </w:tcBorders>
            <w:shd w:val="clear" w:color="auto" w:fill="auto"/>
            <w:vAlign w:val="center"/>
            <w:hideMark/>
          </w:tcPr>
          <w:p w14:paraId="7AD8A041"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Titres</w:t>
            </w:r>
            <w:proofErr w:type="spellEnd"/>
            <w:r w:rsidRPr="0022349C">
              <w:rPr>
                <w:rFonts w:ascii="Tahoma" w:eastAsia="Times New Roman" w:hAnsi="Tahoma" w:cs="Tahoma"/>
                <w:color w:val="231F20"/>
                <w:sz w:val="20"/>
                <w:szCs w:val="20"/>
                <w:lang w:eastAsia="fr-FR"/>
              </w:rPr>
              <w:t xml:space="preserve"> mis </w:t>
            </w:r>
            <w:proofErr w:type="spellStart"/>
            <w:r w:rsidRPr="0022349C">
              <w:rPr>
                <w:rFonts w:ascii="Tahoma" w:eastAsia="Times New Roman" w:hAnsi="Tahoma" w:cs="Tahoma"/>
                <w:color w:val="231F20"/>
                <w:sz w:val="20"/>
                <w:szCs w:val="20"/>
                <w:lang w:eastAsia="fr-FR"/>
              </w:rPr>
              <w:t>en</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équivalence</w:t>
            </w:r>
            <w:proofErr w:type="spellEnd"/>
          </w:p>
        </w:tc>
        <w:tc>
          <w:tcPr>
            <w:tcW w:w="1646" w:type="dxa"/>
            <w:tcBorders>
              <w:top w:val="nil"/>
              <w:left w:val="nil"/>
              <w:bottom w:val="nil"/>
              <w:right w:val="nil"/>
            </w:tcBorders>
            <w:shd w:val="clear" w:color="000000" w:fill="D7E1E1"/>
            <w:vAlign w:val="bottom"/>
            <w:hideMark/>
          </w:tcPr>
          <w:p w14:paraId="6388DBDE"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0  </w:t>
            </w:r>
          </w:p>
        </w:tc>
        <w:tc>
          <w:tcPr>
            <w:tcW w:w="1557" w:type="dxa"/>
            <w:tcBorders>
              <w:top w:val="nil"/>
              <w:left w:val="nil"/>
              <w:bottom w:val="nil"/>
              <w:right w:val="nil"/>
            </w:tcBorders>
            <w:shd w:val="clear" w:color="auto" w:fill="auto"/>
            <w:vAlign w:val="bottom"/>
            <w:hideMark/>
          </w:tcPr>
          <w:p w14:paraId="1467B00A"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62  </w:t>
            </w:r>
          </w:p>
        </w:tc>
      </w:tr>
      <w:tr w:rsidR="00B00ACA" w:rsidRPr="0022349C" w14:paraId="2A50004A" w14:textId="77777777" w:rsidTr="00C21F49">
        <w:trPr>
          <w:trHeight w:val="290"/>
        </w:trPr>
        <w:tc>
          <w:tcPr>
            <w:tcW w:w="5728" w:type="dxa"/>
            <w:tcBorders>
              <w:top w:val="nil"/>
              <w:left w:val="nil"/>
              <w:bottom w:val="nil"/>
              <w:right w:val="nil"/>
            </w:tcBorders>
            <w:shd w:val="clear" w:color="auto" w:fill="auto"/>
            <w:vAlign w:val="center"/>
            <w:hideMark/>
          </w:tcPr>
          <w:p w14:paraId="6CEE1D4C"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Autres actifs financiers non courants</w:t>
            </w:r>
          </w:p>
        </w:tc>
        <w:tc>
          <w:tcPr>
            <w:tcW w:w="1646" w:type="dxa"/>
            <w:tcBorders>
              <w:top w:val="nil"/>
              <w:left w:val="nil"/>
              <w:bottom w:val="nil"/>
              <w:right w:val="nil"/>
            </w:tcBorders>
            <w:shd w:val="clear" w:color="000000" w:fill="D7E1E1"/>
            <w:vAlign w:val="bottom"/>
            <w:hideMark/>
          </w:tcPr>
          <w:p w14:paraId="05E6EDF1"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10 428  </w:t>
            </w:r>
          </w:p>
        </w:tc>
        <w:tc>
          <w:tcPr>
            <w:tcW w:w="1557" w:type="dxa"/>
            <w:tcBorders>
              <w:top w:val="nil"/>
              <w:left w:val="nil"/>
              <w:bottom w:val="nil"/>
              <w:right w:val="nil"/>
            </w:tcBorders>
            <w:shd w:val="clear" w:color="auto" w:fill="auto"/>
            <w:vAlign w:val="bottom"/>
            <w:hideMark/>
          </w:tcPr>
          <w:p w14:paraId="0742D77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11 343  </w:t>
            </w:r>
          </w:p>
        </w:tc>
      </w:tr>
      <w:tr w:rsidR="00B00ACA" w:rsidRPr="0022349C" w14:paraId="6EDCF0AF" w14:textId="77777777" w:rsidTr="00C21F49">
        <w:trPr>
          <w:trHeight w:val="290"/>
        </w:trPr>
        <w:tc>
          <w:tcPr>
            <w:tcW w:w="5728" w:type="dxa"/>
            <w:tcBorders>
              <w:top w:val="nil"/>
              <w:left w:val="nil"/>
              <w:bottom w:val="nil"/>
              <w:right w:val="nil"/>
            </w:tcBorders>
            <w:shd w:val="clear" w:color="auto" w:fill="auto"/>
            <w:vAlign w:val="center"/>
            <w:hideMark/>
          </w:tcPr>
          <w:p w14:paraId="5A27E27C"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Actifs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d'impôts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différés</w:t>
            </w:r>
            <w:proofErr w:type="spellEnd"/>
          </w:p>
        </w:tc>
        <w:tc>
          <w:tcPr>
            <w:tcW w:w="1646" w:type="dxa"/>
            <w:tcBorders>
              <w:top w:val="nil"/>
              <w:left w:val="nil"/>
              <w:bottom w:val="nil"/>
              <w:right w:val="nil"/>
            </w:tcBorders>
            <w:shd w:val="clear" w:color="000000" w:fill="D7E1E1"/>
            <w:vAlign w:val="bottom"/>
            <w:hideMark/>
          </w:tcPr>
          <w:p w14:paraId="4728937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2 122  </w:t>
            </w:r>
          </w:p>
        </w:tc>
        <w:tc>
          <w:tcPr>
            <w:tcW w:w="1557" w:type="dxa"/>
            <w:tcBorders>
              <w:top w:val="nil"/>
              <w:left w:val="nil"/>
              <w:bottom w:val="nil"/>
              <w:right w:val="nil"/>
            </w:tcBorders>
            <w:shd w:val="clear" w:color="auto" w:fill="auto"/>
            <w:vAlign w:val="bottom"/>
            <w:hideMark/>
          </w:tcPr>
          <w:p w14:paraId="7AAD8BE6"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5 190  </w:t>
            </w:r>
          </w:p>
        </w:tc>
      </w:tr>
      <w:tr w:rsidR="00B00ACA" w:rsidRPr="0022349C" w14:paraId="4F3CB67D" w14:textId="77777777" w:rsidTr="00C21F49">
        <w:trPr>
          <w:trHeight w:val="90"/>
        </w:trPr>
        <w:tc>
          <w:tcPr>
            <w:tcW w:w="5728" w:type="dxa"/>
            <w:tcBorders>
              <w:top w:val="nil"/>
              <w:left w:val="nil"/>
              <w:bottom w:val="nil"/>
              <w:right w:val="nil"/>
            </w:tcBorders>
            <w:shd w:val="clear" w:color="auto" w:fill="auto"/>
            <w:vAlign w:val="center"/>
            <w:hideMark/>
          </w:tcPr>
          <w:p w14:paraId="2D0A6CC6"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p>
        </w:tc>
        <w:tc>
          <w:tcPr>
            <w:tcW w:w="1646" w:type="dxa"/>
            <w:tcBorders>
              <w:top w:val="nil"/>
              <w:left w:val="nil"/>
              <w:bottom w:val="nil"/>
              <w:right w:val="nil"/>
            </w:tcBorders>
            <w:shd w:val="clear" w:color="000000" w:fill="D7E1E1"/>
            <w:vAlign w:val="bottom"/>
            <w:hideMark/>
          </w:tcPr>
          <w:p w14:paraId="03FBC3DF" w14:textId="77777777" w:rsidR="00B00ACA" w:rsidRPr="0022349C" w:rsidRDefault="00B00ACA" w:rsidP="00C21F49">
            <w:pPr>
              <w:spacing w:after="0" w:line="240" w:lineRule="auto"/>
              <w:ind w:firstLineChars="100" w:firstLine="200"/>
              <w:jc w:val="right"/>
              <w:rPr>
                <w:rFonts w:ascii="Tahoma" w:eastAsia="Times New Roman" w:hAnsi="Tahoma" w:cs="Tahoma"/>
                <w:color w:val="000000"/>
                <w:sz w:val="20"/>
                <w:szCs w:val="20"/>
                <w:lang w:eastAsia="fr-FR"/>
              </w:rPr>
            </w:pPr>
            <w:r w:rsidRPr="0022349C">
              <w:rPr>
                <w:rFonts w:ascii="Tahoma" w:eastAsia="Times New Roman" w:hAnsi="Tahoma" w:cs="Tahoma"/>
                <w:color w:val="000000"/>
                <w:sz w:val="20"/>
                <w:szCs w:val="20"/>
                <w:lang w:eastAsia="fr-FR"/>
              </w:rPr>
              <w:t> </w:t>
            </w:r>
          </w:p>
        </w:tc>
        <w:tc>
          <w:tcPr>
            <w:tcW w:w="1557" w:type="dxa"/>
            <w:tcBorders>
              <w:top w:val="nil"/>
              <w:left w:val="nil"/>
              <w:bottom w:val="nil"/>
              <w:right w:val="nil"/>
            </w:tcBorders>
            <w:shd w:val="clear" w:color="auto" w:fill="auto"/>
            <w:vAlign w:val="bottom"/>
            <w:hideMark/>
          </w:tcPr>
          <w:p w14:paraId="6C95F09D" w14:textId="77777777" w:rsidR="00B00ACA" w:rsidRPr="0022349C" w:rsidRDefault="00B00ACA" w:rsidP="00C21F49">
            <w:pPr>
              <w:spacing w:after="0" w:line="240" w:lineRule="auto"/>
              <w:ind w:firstLineChars="100" w:firstLine="200"/>
              <w:jc w:val="right"/>
              <w:rPr>
                <w:rFonts w:ascii="Tahoma" w:eastAsia="Times New Roman" w:hAnsi="Tahoma" w:cs="Tahoma"/>
                <w:color w:val="000000"/>
                <w:sz w:val="20"/>
                <w:szCs w:val="20"/>
                <w:lang w:eastAsia="fr-FR"/>
              </w:rPr>
            </w:pPr>
          </w:p>
        </w:tc>
      </w:tr>
      <w:tr w:rsidR="00B00ACA" w:rsidRPr="0022349C" w14:paraId="3DC35916" w14:textId="77777777" w:rsidTr="00C21F49">
        <w:trPr>
          <w:trHeight w:val="290"/>
        </w:trPr>
        <w:tc>
          <w:tcPr>
            <w:tcW w:w="5728" w:type="dxa"/>
            <w:tcBorders>
              <w:top w:val="nil"/>
              <w:left w:val="nil"/>
              <w:bottom w:val="single" w:sz="4" w:space="0" w:color="7E8083"/>
              <w:right w:val="nil"/>
            </w:tcBorders>
            <w:shd w:val="clear" w:color="auto" w:fill="auto"/>
            <w:vAlign w:val="center"/>
            <w:hideMark/>
          </w:tcPr>
          <w:p w14:paraId="6731B233" w14:textId="77777777" w:rsidR="00B00ACA" w:rsidRPr="0022349C" w:rsidRDefault="00B00ACA" w:rsidP="00C21F49">
            <w:pPr>
              <w:spacing w:after="0" w:line="240" w:lineRule="auto"/>
              <w:ind w:firstLineChars="100" w:firstLine="200"/>
              <w:rPr>
                <w:rFonts w:ascii="Tahoma" w:eastAsia="Times New Roman" w:hAnsi="Tahoma" w:cs="Tahoma"/>
                <w:color w:val="7A0000"/>
                <w:sz w:val="20"/>
                <w:szCs w:val="20"/>
                <w:lang w:eastAsia="fr-FR"/>
              </w:rPr>
            </w:pPr>
            <w:proofErr w:type="spellStart"/>
            <w:r w:rsidRPr="0022349C">
              <w:rPr>
                <w:rFonts w:ascii="Tahoma" w:eastAsia="Times New Roman" w:hAnsi="Tahoma" w:cs="Tahoma"/>
                <w:color w:val="7A0000"/>
                <w:sz w:val="20"/>
                <w:szCs w:val="20"/>
                <w:lang w:eastAsia="fr-FR"/>
              </w:rPr>
              <w:t>Actifs</w:t>
            </w:r>
            <w:proofErr w:type="spellEnd"/>
            <w:r w:rsidRPr="0022349C">
              <w:rPr>
                <w:rFonts w:ascii="Tahoma" w:eastAsia="Times New Roman" w:hAnsi="Tahoma" w:cs="Tahoma"/>
                <w:color w:val="7A0000"/>
                <w:sz w:val="20"/>
                <w:szCs w:val="20"/>
                <w:lang w:eastAsia="fr-FR"/>
              </w:rPr>
              <w:t xml:space="preserve"> courants</w:t>
            </w:r>
          </w:p>
        </w:tc>
        <w:tc>
          <w:tcPr>
            <w:tcW w:w="1646" w:type="dxa"/>
            <w:tcBorders>
              <w:top w:val="nil"/>
              <w:left w:val="nil"/>
              <w:bottom w:val="single" w:sz="4" w:space="0" w:color="7E8083"/>
              <w:right w:val="nil"/>
            </w:tcBorders>
            <w:shd w:val="clear" w:color="000000" w:fill="D7E1E1"/>
            <w:vAlign w:val="bottom"/>
            <w:hideMark/>
          </w:tcPr>
          <w:p w14:paraId="788E31BB"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 xml:space="preserve">208 898  </w:t>
            </w:r>
          </w:p>
        </w:tc>
        <w:tc>
          <w:tcPr>
            <w:tcW w:w="1557" w:type="dxa"/>
            <w:tcBorders>
              <w:top w:val="nil"/>
              <w:left w:val="nil"/>
              <w:bottom w:val="single" w:sz="4" w:space="0" w:color="7E8083"/>
              <w:right w:val="nil"/>
            </w:tcBorders>
            <w:shd w:val="clear" w:color="auto" w:fill="auto"/>
            <w:vAlign w:val="bottom"/>
            <w:hideMark/>
          </w:tcPr>
          <w:p w14:paraId="0216BFA9"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 xml:space="preserve">196 412  </w:t>
            </w:r>
          </w:p>
        </w:tc>
      </w:tr>
      <w:tr w:rsidR="00B00ACA" w:rsidRPr="0022349C" w14:paraId="318B009C" w14:textId="77777777" w:rsidTr="00C21F49">
        <w:trPr>
          <w:trHeight w:val="290"/>
        </w:trPr>
        <w:tc>
          <w:tcPr>
            <w:tcW w:w="5728" w:type="dxa"/>
            <w:tcBorders>
              <w:top w:val="nil"/>
              <w:left w:val="nil"/>
              <w:bottom w:val="nil"/>
              <w:right w:val="nil"/>
            </w:tcBorders>
            <w:shd w:val="clear" w:color="auto" w:fill="auto"/>
            <w:vAlign w:val="center"/>
            <w:hideMark/>
          </w:tcPr>
          <w:p w14:paraId="0A3D7EA9"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Stocks et </w:t>
            </w:r>
            <w:proofErr w:type="spellStart"/>
            <w:r w:rsidRPr="0022349C">
              <w:rPr>
                <w:rFonts w:ascii="Tahoma" w:eastAsia="Times New Roman" w:hAnsi="Tahoma" w:cs="Tahoma"/>
                <w:color w:val="231F20"/>
                <w:sz w:val="20"/>
                <w:szCs w:val="20"/>
                <w:lang w:eastAsia="fr-FR"/>
              </w:rPr>
              <w:t>en</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cours</w:t>
            </w:r>
            <w:proofErr w:type="spellEnd"/>
          </w:p>
        </w:tc>
        <w:tc>
          <w:tcPr>
            <w:tcW w:w="1646" w:type="dxa"/>
            <w:tcBorders>
              <w:top w:val="nil"/>
              <w:left w:val="nil"/>
              <w:bottom w:val="nil"/>
              <w:right w:val="nil"/>
            </w:tcBorders>
            <w:shd w:val="clear" w:color="000000" w:fill="D7E1E1"/>
            <w:vAlign w:val="bottom"/>
            <w:hideMark/>
          </w:tcPr>
          <w:p w14:paraId="7430BF75"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48 267  </w:t>
            </w:r>
          </w:p>
        </w:tc>
        <w:tc>
          <w:tcPr>
            <w:tcW w:w="1557" w:type="dxa"/>
            <w:tcBorders>
              <w:top w:val="nil"/>
              <w:left w:val="nil"/>
              <w:bottom w:val="nil"/>
              <w:right w:val="nil"/>
            </w:tcBorders>
            <w:shd w:val="clear" w:color="auto" w:fill="auto"/>
            <w:vAlign w:val="bottom"/>
            <w:hideMark/>
          </w:tcPr>
          <w:p w14:paraId="0D2DCFD6"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48 501  </w:t>
            </w:r>
          </w:p>
        </w:tc>
      </w:tr>
      <w:tr w:rsidR="00B00ACA" w:rsidRPr="0022349C" w14:paraId="4605B5BE" w14:textId="77777777" w:rsidTr="00C21F49">
        <w:trPr>
          <w:trHeight w:val="290"/>
        </w:trPr>
        <w:tc>
          <w:tcPr>
            <w:tcW w:w="5728" w:type="dxa"/>
            <w:tcBorders>
              <w:top w:val="nil"/>
              <w:left w:val="nil"/>
              <w:bottom w:val="nil"/>
              <w:right w:val="nil"/>
            </w:tcBorders>
            <w:shd w:val="clear" w:color="auto" w:fill="auto"/>
            <w:vAlign w:val="center"/>
            <w:hideMark/>
          </w:tcPr>
          <w:p w14:paraId="3CA33F88"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Clients et </w:t>
            </w:r>
            <w:proofErr w:type="spellStart"/>
            <w:r w:rsidRPr="0022349C">
              <w:rPr>
                <w:rFonts w:ascii="Tahoma" w:eastAsia="Times New Roman" w:hAnsi="Tahoma" w:cs="Tahoma"/>
                <w:color w:val="231F20"/>
                <w:sz w:val="20"/>
                <w:szCs w:val="20"/>
                <w:lang w:eastAsia="fr-FR"/>
              </w:rPr>
              <w:t>comptes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rattachés</w:t>
            </w:r>
            <w:proofErr w:type="spellEnd"/>
          </w:p>
        </w:tc>
        <w:tc>
          <w:tcPr>
            <w:tcW w:w="1646" w:type="dxa"/>
            <w:tcBorders>
              <w:top w:val="nil"/>
              <w:left w:val="nil"/>
              <w:bottom w:val="nil"/>
              <w:right w:val="nil"/>
            </w:tcBorders>
            <w:shd w:val="clear" w:color="000000" w:fill="D7E1E1"/>
            <w:vAlign w:val="bottom"/>
            <w:hideMark/>
          </w:tcPr>
          <w:p w14:paraId="5DC91C98"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78 796  </w:t>
            </w:r>
          </w:p>
        </w:tc>
        <w:tc>
          <w:tcPr>
            <w:tcW w:w="1557" w:type="dxa"/>
            <w:tcBorders>
              <w:top w:val="nil"/>
              <w:left w:val="nil"/>
              <w:bottom w:val="nil"/>
              <w:right w:val="nil"/>
            </w:tcBorders>
            <w:shd w:val="clear" w:color="auto" w:fill="auto"/>
            <w:vAlign w:val="bottom"/>
            <w:hideMark/>
          </w:tcPr>
          <w:p w14:paraId="075AEB68"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69 526  </w:t>
            </w:r>
          </w:p>
        </w:tc>
      </w:tr>
      <w:tr w:rsidR="00B00ACA" w:rsidRPr="0022349C" w14:paraId="13FCA901" w14:textId="77777777" w:rsidTr="00C21F49">
        <w:trPr>
          <w:trHeight w:val="290"/>
        </w:trPr>
        <w:tc>
          <w:tcPr>
            <w:tcW w:w="5728" w:type="dxa"/>
            <w:tcBorders>
              <w:top w:val="nil"/>
              <w:left w:val="nil"/>
              <w:bottom w:val="nil"/>
              <w:right w:val="nil"/>
            </w:tcBorders>
            <w:shd w:val="clear" w:color="auto" w:fill="auto"/>
            <w:vAlign w:val="center"/>
            <w:hideMark/>
          </w:tcPr>
          <w:p w14:paraId="641A265E"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Autres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créances</w:t>
            </w:r>
            <w:proofErr w:type="spellEnd"/>
          </w:p>
        </w:tc>
        <w:tc>
          <w:tcPr>
            <w:tcW w:w="1646" w:type="dxa"/>
            <w:tcBorders>
              <w:top w:val="nil"/>
              <w:left w:val="nil"/>
              <w:bottom w:val="nil"/>
              <w:right w:val="nil"/>
            </w:tcBorders>
            <w:shd w:val="clear" w:color="000000" w:fill="D7E1E1"/>
            <w:vAlign w:val="bottom"/>
            <w:hideMark/>
          </w:tcPr>
          <w:p w14:paraId="5A3ED70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43 723  </w:t>
            </w:r>
          </w:p>
        </w:tc>
        <w:tc>
          <w:tcPr>
            <w:tcW w:w="1557" w:type="dxa"/>
            <w:tcBorders>
              <w:top w:val="nil"/>
              <w:left w:val="nil"/>
              <w:bottom w:val="nil"/>
              <w:right w:val="nil"/>
            </w:tcBorders>
            <w:shd w:val="clear" w:color="auto" w:fill="auto"/>
            <w:vAlign w:val="bottom"/>
            <w:hideMark/>
          </w:tcPr>
          <w:p w14:paraId="37CB796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38 472  </w:t>
            </w:r>
          </w:p>
        </w:tc>
      </w:tr>
      <w:tr w:rsidR="00B00ACA" w:rsidRPr="0022349C" w14:paraId="5BD4D98A" w14:textId="77777777" w:rsidTr="00C21F49">
        <w:trPr>
          <w:trHeight w:val="290"/>
        </w:trPr>
        <w:tc>
          <w:tcPr>
            <w:tcW w:w="5728" w:type="dxa"/>
            <w:tcBorders>
              <w:top w:val="nil"/>
              <w:left w:val="nil"/>
              <w:bottom w:val="nil"/>
              <w:right w:val="nil"/>
            </w:tcBorders>
            <w:shd w:val="clear" w:color="auto" w:fill="auto"/>
            <w:vAlign w:val="center"/>
            <w:hideMark/>
          </w:tcPr>
          <w:p w14:paraId="5EEC3D44"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Autres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actifs</w:t>
            </w:r>
            <w:proofErr w:type="spellEnd"/>
            <w:r w:rsidRPr="0022349C">
              <w:rPr>
                <w:rFonts w:ascii="Tahoma" w:eastAsia="Times New Roman" w:hAnsi="Tahoma" w:cs="Tahoma"/>
                <w:color w:val="231F20"/>
                <w:sz w:val="20"/>
                <w:szCs w:val="20"/>
                <w:lang w:eastAsia="fr-FR"/>
              </w:rPr>
              <w:t xml:space="preserve"> courants</w:t>
            </w:r>
          </w:p>
        </w:tc>
        <w:tc>
          <w:tcPr>
            <w:tcW w:w="1646" w:type="dxa"/>
            <w:tcBorders>
              <w:top w:val="nil"/>
              <w:left w:val="nil"/>
              <w:bottom w:val="nil"/>
              <w:right w:val="nil"/>
            </w:tcBorders>
            <w:shd w:val="clear" w:color="000000" w:fill="D7E1E1"/>
            <w:vAlign w:val="bottom"/>
            <w:hideMark/>
          </w:tcPr>
          <w:p w14:paraId="27F7327F"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2 346  </w:t>
            </w:r>
          </w:p>
        </w:tc>
        <w:tc>
          <w:tcPr>
            <w:tcW w:w="1557" w:type="dxa"/>
            <w:tcBorders>
              <w:top w:val="nil"/>
              <w:left w:val="nil"/>
              <w:bottom w:val="nil"/>
              <w:right w:val="nil"/>
            </w:tcBorders>
            <w:shd w:val="clear" w:color="auto" w:fill="auto"/>
            <w:vAlign w:val="bottom"/>
            <w:hideMark/>
          </w:tcPr>
          <w:p w14:paraId="5158EEFA"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2 589  </w:t>
            </w:r>
          </w:p>
        </w:tc>
      </w:tr>
      <w:tr w:rsidR="00B00ACA" w:rsidRPr="0022349C" w14:paraId="3CEC7EA8" w14:textId="77777777" w:rsidTr="00C21F49">
        <w:trPr>
          <w:trHeight w:val="290"/>
        </w:trPr>
        <w:tc>
          <w:tcPr>
            <w:tcW w:w="5728" w:type="dxa"/>
            <w:tcBorders>
              <w:top w:val="nil"/>
              <w:left w:val="nil"/>
              <w:bottom w:val="nil"/>
              <w:right w:val="nil"/>
            </w:tcBorders>
            <w:shd w:val="clear" w:color="auto" w:fill="auto"/>
            <w:vAlign w:val="center"/>
            <w:hideMark/>
          </w:tcPr>
          <w:p w14:paraId="0FAA727B" w14:textId="77777777" w:rsidR="00B00ACA" w:rsidRPr="00B00ACA" w:rsidRDefault="00B00ACA" w:rsidP="00C21F49">
            <w:pPr>
              <w:spacing w:after="0" w:line="240" w:lineRule="auto"/>
              <w:ind w:firstLineChars="100" w:firstLine="200"/>
              <w:rPr>
                <w:rFonts w:ascii="Tahoma" w:eastAsia="Times New Roman" w:hAnsi="Tahoma" w:cs="Tahoma"/>
                <w:sz w:val="20"/>
                <w:szCs w:val="20"/>
                <w:lang w:val="fr-FR" w:eastAsia="fr-FR"/>
              </w:rPr>
            </w:pPr>
            <w:r w:rsidRPr="00B00ACA">
              <w:rPr>
                <w:rFonts w:ascii="Tahoma" w:eastAsia="Times New Roman" w:hAnsi="Tahoma" w:cs="Tahoma"/>
                <w:sz w:val="20"/>
                <w:szCs w:val="20"/>
                <w:lang w:val="fr-FR" w:eastAsia="fr-FR"/>
              </w:rPr>
              <w:t>Trésorerie et équivalents de trésorerie</w:t>
            </w:r>
          </w:p>
        </w:tc>
        <w:tc>
          <w:tcPr>
            <w:tcW w:w="1646" w:type="dxa"/>
            <w:tcBorders>
              <w:top w:val="nil"/>
              <w:left w:val="nil"/>
              <w:bottom w:val="nil"/>
              <w:right w:val="nil"/>
            </w:tcBorders>
            <w:shd w:val="clear" w:color="000000" w:fill="D7E1E1"/>
            <w:vAlign w:val="bottom"/>
            <w:hideMark/>
          </w:tcPr>
          <w:p w14:paraId="18F68904"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35 766  </w:t>
            </w:r>
          </w:p>
        </w:tc>
        <w:tc>
          <w:tcPr>
            <w:tcW w:w="1557" w:type="dxa"/>
            <w:tcBorders>
              <w:top w:val="nil"/>
              <w:left w:val="nil"/>
              <w:bottom w:val="nil"/>
              <w:right w:val="nil"/>
            </w:tcBorders>
            <w:shd w:val="clear" w:color="auto" w:fill="auto"/>
            <w:vAlign w:val="bottom"/>
            <w:hideMark/>
          </w:tcPr>
          <w:p w14:paraId="44F31800"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36 706  </w:t>
            </w:r>
          </w:p>
        </w:tc>
      </w:tr>
      <w:tr w:rsidR="00B00ACA" w:rsidRPr="0022349C" w14:paraId="39AD81C3" w14:textId="77777777" w:rsidTr="00C21F49">
        <w:trPr>
          <w:trHeight w:val="290"/>
        </w:trPr>
        <w:tc>
          <w:tcPr>
            <w:tcW w:w="5728" w:type="dxa"/>
            <w:tcBorders>
              <w:top w:val="nil"/>
              <w:left w:val="nil"/>
              <w:bottom w:val="nil"/>
              <w:right w:val="nil"/>
            </w:tcBorders>
            <w:shd w:val="clear" w:color="auto" w:fill="auto"/>
            <w:vAlign w:val="center"/>
            <w:hideMark/>
          </w:tcPr>
          <w:p w14:paraId="57C3D7E2" w14:textId="77777777" w:rsidR="00B00ACA" w:rsidRPr="00B00ACA" w:rsidRDefault="00B00ACA" w:rsidP="00C21F49">
            <w:pPr>
              <w:spacing w:after="0" w:line="240" w:lineRule="auto"/>
              <w:ind w:firstLineChars="100" w:firstLine="200"/>
              <w:rPr>
                <w:rFonts w:ascii="Tahoma" w:eastAsia="Times New Roman" w:hAnsi="Tahoma" w:cs="Tahoma"/>
                <w:sz w:val="20"/>
                <w:szCs w:val="20"/>
                <w:lang w:val="fr-FR" w:eastAsia="fr-FR"/>
              </w:rPr>
            </w:pPr>
            <w:r w:rsidRPr="00B00ACA">
              <w:rPr>
                <w:rFonts w:ascii="Tahoma" w:eastAsia="Times New Roman" w:hAnsi="Tahoma" w:cs="Tahoma"/>
                <w:sz w:val="20"/>
                <w:szCs w:val="20"/>
                <w:lang w:val="fr-FR" w:eastAsia="fr-FR"/>
              </w:rPr>
              <w:t>Actifs destinés à être cédés</w:t>
            </w:r>
          </w:p>
        </w:tc>
        <w:tc>
          <w:tcPr>
            <w:tcW w:w="1646" w:type="dxa"/>
            <w:tcBorders>
              <w:top w:val="nil"/>
              <w:left w:val="nil"/>
              <w:bottom w:val="nil"/>
              <w:right w:val="nil"/>
            </w:tcBorders>
            <w:shd w:val="clear" w:color="000000" w:fill="D7E1E1"/>
            <w:vAlign w:val="bottom"/>
            <w:hideMark/>
          </w:tcPr>
          <w:p w14:paraId="0F3DE5AD"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0  </w:t>
            </w:r>
          </w:p>
        </w:tc>
        <w:tc>
          <w:tcPr>
            <w:tcW w:w="1557" w:type="dxa"/>
            <w:tcBorders>
              <w:top w:val="nil"/>
              <w:left w:val="nil"/>
              <w:bottom w:val="nil"/>
              <w:right w:val="nil"/>
            </w:tcBorders>
            <w:shd w:val="clear" w:color="auto" w:fill="auto"/>
            <w:vAlign w:val="bottom"/>
            <w:hideMark/>
          </w:tcPr>
          <w:p w14:paraId="54A0D8E4"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618  </w:t>
            </w:r>
          </w:p>
        </w:tc>
      </w:tr>
      <w:tr w:rsidR="00B00ACA" w:rsidRPr="0022349C" w14:paraId="39B91865" w14:textId="77777777" w:rsidTr="00C21F49">
        <w:trPr>
          <w:trHeight w:val="290"/>
        </w:trPr>
        <w:tc>
          <w:tcPr>
            <w:tcW w:w="5728" w:type="dxa"/>
            <w:tcBorders>
              <w:top w:val="single" w:sz="4" w:space="0" w:color="7E8083"/>
              <w:left w:val="nil"/>
              <w:bottom w:val="single" w:sz="4" w:space="0" w:color="7E8083"/>
              <w:right w:val="nil"/>
            </w:tcBorders>
            <w:shd w:val="clear" w:color="auto" w:fill="auto"/>
            <w:vAlign w:val="center"/>
            <w:hideMark/>
          </w:tcPr>
          <w:p w14:paraId="5057F500" w14:textId="77777777" w:rsidR="00B00ACA" w:rsidRPr="0022349C" w:rsidRDefault="00B00ACA" w:rsidP="00C21F49">
            <w:pPr>
              <w:spacing w:after="0" w:line="240" w:lineRule="auto"/>
              <w:ind w:firstLineChars="100" w:firstLine="201"/>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TOTAL ACTIF</w:t>
            </w:r>
          </w:p>
        </w:tc>
        <w:tc>
          <w:tcPr>
            <w:tcW w:w="1646" w:type="dxa"/>
            <w:tcBorders>
              <w:top w:val="single" w:sz="4" w:space="0" w:color="7E8083"/>
              <w:left w:val="nil"/>
              <w:bottom w:val="single" w:sz="4" w:space="0" w:color="7E8083"/>
              <w:right w:val="nil"/>
            </w:tcBorders>
            <w:shd w:val="clear" w:color="000000" w:fill="D7E1E1"/>
            <w:vAlign w:val="bottom"/>
            <w:hideMark/>
          </w:tcPr>
          <w:p w14:paraId="595ECEB3" w14:textId="77777777" w:rsidR="00B00ACA" w:rsidRPr="0022349C" w:rsidRDefault="00B00ACA" w:rsidP="00C21F49">
            <w:pPr>
              <w:spacing w:after="0" w:line="240" w:lineRule="auto"/>
              <w:ind w:firstLineChars="100" w:firstLine="201"/>
              <w:jc w:val="right"/>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 xml:space="preserve">659 363  </w:t>
            </w:r>
          </w:p>
        </w:tc>
        <w:tc>
          <w:tcPr>
            <w:tcW w:w="1557" w:type="dxa"/>
            <w:tcBorders>
              <w:top w:val="single" w:sz="4" w:space="0" w:color="7E8083"/>
              <w:left w:val="nil"/>
              <w:bottom w:val="single" w:sz="4" w:space="0" w:color="7E8083"/>
              <w:right w:val="nil"/>
            </w:tcBorders>
            <w:shd w:val="clear" w:color="auto" w:fill="auto"/>
            <w:vAlign w:val="bottom"/>
            <w:hideMark/>
          </w:tcPr>
          <w:p w14:paraId="252C90BB" w14:textId="77777777" w:rsidR="00B00ACA" w:rsidRPr="0022349C" w:rsidRDefault="00B00ACA" w:rsidP="00C21F49">
            <w:pPr>
              <w:spacing w:after="0" w:line="240" w:lineRule="auto"/>
              <w:ind w:firstLineChars="100" w:firstLine="201"/>
              <w:jc w:val="right"/>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 xml:space="preserve">657 080  </w:t>
            </w:r>
          </w:p>
        </w:tc>
      </w:tr>
      <w:tr w:rsidR="00B00ACA" w:rsidRPr="0022349C" w14:paraId="1A767E39" w14:textId="77777777" w:rsidTr="00C21F49">
        <w:trPr>
          <w:trHeight w:val="180"/>
        </w:trPr>
        <w:tc>
          <w:tcPr>
            <w:tcW w:w="5728" w:type="dxa"/>
            <w:tcBorders>
              <w:top w:val="nil"/>
              <w:left w:val="nil"/>
              <w:bottom w:val="nil"/>
              <w:right w:val="nil"/>
            </w:tcBorders>
            <w:shd w:val="clear" w:color="auto" w:fill="auto"/>
            <w:vAlign w:val="center"/>
            <w:hideMark/>
          </w:tcPr>
          <w:p w14:paraId="0CE9B8F4" w14:textId="77777777" w:rsidR="00B00ACA" w:rsidRPr="0022349C" w:rsidRDefault="00B00ACA" w:rsidP="00C21F49">
            <w:pPr>
              <w:spacing w:after="0" w:line="240" w:lineRule="auto"/>
              <w:ind w:firstLineChars="100" w:firstLine="201"/>
              <w:jc w:val="right"/>
              <w:rPr>
                <w:rFonts w:ascii="Tahoma" w:eastAsia="Times New Roman" w:hAnsi="Tahoma" w:cs="Tahoma"/>
                <w:b/>
                <w:bCs/>
                <w:color w:val="7A0000"/>
                <w:sz w:val="20"/>
                <w:szCs w:val="20"/>
                <w:lang w:eastAsia="fr-FR"/>
              </w:rPr>
            </w:pPr>
          </w:p>
        </w:tc>
        <w:tc>
          <w:tcPr>
            <w:tcW w:w="1646" w:type="dxa"/>
            <w:tcBorders>
              <w:top w:val="nil"/>
              <w:left w:val="nil"/>
              <w:bottom w:val="nil"/>
              <w:right w:val="nil"/>
            </w:tcBorders>
            <w:shd w:val="clear" w:color="000000" w:fill="FFFFFF"/>
            <w:vAlign w:val="center"/>
            <w:hideMark/>
          </w:tcPr>
          <w:p w14:paraId="7D692F72" w14:textId="77777777" w:rsidR="00B00ACA" w:rsidRPr="0022349C" w:rsidRDefault="00B00ACA" w:rsidP="00C21F49">
            <w:pPr>
              <w:spacing w:after="0" w:line="240" w:lineRule="auto"/>
              <w:rPr>
                <w:rFonts w:ascii="Tahoma" w:eastAsia="Times New Roman" w:hAnsi="Tahoma" w:cs="Tahoma"/>
                <w:color w:val="000000"/>
                <w:sz w:val="20"/>
                <w:szCs w:val="20"/>
                <w:lang w:eastAsia="fr-FR"/>
              </w:rPr>
            </w:pPr>
            <w:r w:rsidRPr="0022349C">
              <w:rPr>
                <w:rFonts w:ascii="Tahoma" w:eastAsia="Times New Roman" w:hAnsi="Tahoma" w:cs="Tahoma"/>
                <w:color w:val="000000"/>
                <w:sz w:val="20"/>
                <w:szCs w:val="20"/>
                <w:lang w:eastAsia="fr-FR"/>
              </w:rPr>
              <w:t> </w:t>
            </w:r>
          </w:p>
        </w:tc>
        <w:tc>
          <w:tcPr>
            <w:tcW w:w="1557" w:type="dxa"/>
            <w:tcBorders>
              <w:top w:val="nil"/>
              <w:left w:val="nil"/>
              <w:bottom w:val="nil"/>
              <w:right w:val="nil"/>
            </w:tcBorders>
            <w:shd w:val="clear" w:color="auto" w:fill="auto"/>
            <w:vAlign w:val="center"/>
            <w:hideMark/>
          </w:tcPr>
          <w:p w14:paraId="474E1B34" w14:textId="77777777" w:rsidR="00B00ACA" w:rsidRPr="0022349C" w:rsidRDefault="00B00ACA" w:rsidP="00C21F49">
            <w:pPr>
              <w:spacing w:after="0" w:line="240" w:lineRule="auto"/>
              <w:rPr>
                <w:rFonts w:ascii="Tahoma" w:eastAsia="Times New Roman" w:hAnsi="Tahoma" w:cs="Tahoma"/>
                <w:color w:val="000000"/>
                <w:sz w:val="20"/>
                <w:szCs w:val="20"/>
                <w:lang w:eastAsia="fr-FR"/>
              </w:rPr>
            </w:pPr>
          </w:p>
        </w:tc>
      </w:tr>
      <w:tr w:rsidR="00B00ACA" w:rsidRPr="0022349C" w14:paraId="606ECF06" w14:textId="77777777" w:rsidTr="00C21F49">
        <w:trPr>
          <w:trHeight w:val="290"/>
        </w:trPr>
        <w:tc>
          <w:tcPr>
            <w:tcW w:w="5728" w:type="dxa"/>
            <w:tcBorders>
              <w:top w:val="single" w:sz="4" w:space="0" w:color="7E8083"/>
              <w:left w:val="nil"/>
              <w:bottom w:val="single" w:sz="4" w:space="0" w:color="7E8083"/>
              <w:right w:val="nil"/>
            </w:tcBorders>
            <w:shd w:val="clear" w:color="auto" w:fill="auto"/>
            <w:vAlign w:val="center"/>
            <w:hideMark/>
          </w:tcPr>
          <w:p w14:paraId="4ED50C80" w14:textId="77777777" w:rsidR="00B00ACA" w:rsidRPr="0022349C" w:rsidRDefault="00B00ACA" w:rsidP="00C21F49">
            <w:pPr>
              <w:spacing w:after="0" w:line="240" w:lineRule="auto"/>
              <w:ind w:firstLineChars="100" w:firstLine="201"/>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 xml:space="preserve">PASSIF </w:t>
            </w:r>
            <w:r w:rsidRPr="0022349C">
              <w:rPr>
                <w:rFonts w:ascii="Tahoma" w:eastAsia="Times New Roman" w:hAnsi="Tahoma" w:cs="Tahoma"/>
                <w:b/>
                <w:bCs/>
                <w:i/>
                <w:iCs/>
                <w:color w:val="7A0000"/>
                <w:sz w:val="16"/>
                <w:szCs w:val="16"/>
                <w:lang w:eastAsia="fr-FR"/>
              </w:rPr>
              <w:t>(</w:t>
            </w:r>
            <w:proofErr w:type="spellStart"/>
            <w:r w:rsidRPr="0022349C">
              <w:rPr>
                <w:rFonts w:ascii="Tahoma" w:eastAsia="Times New Roman" w:hAnsi="Tahoma" w:cs="Tahoma"/>
                <w:b/>
                <w:bCs/>
                <w:i/>
                <w:iCs/>
                <w:color w:val="7A0000"/>
                <w:sz w:val="16"/>
                <w:szCs w:val="16"/>
                <w:lang w:eastAsia="fr-FR"/>
              </w:rPr>
              <w:t>en</w:t>
            </w:r>
            <w:proofErr w:type="spellEnd"/>
            <w:r w:rsidRPr="0022349C">
              <w:rPr>
                <w:rFonts w:ascii="Tahoma" w:eastAsia="Times New Roman" w:hAnsi="Tahoma" w:cs="Tahoma"/>
                <w:b/>
                <w:bCs/>
                <w:i/>
                <w:iCs/>
                <w:color w:val="7A0000"/>
                <w:sz w:val="16"/>
                <w:szCs w:val="16"/>
                <w:lang w:eastAsia="fr-FR"/>
              </w:rPr>
              <w:t xml:space="preserve"> </w:t>
            </w:r>
            <w:proofErr w:type="spellStart"/>
            <w:r w:rsidRPr="0022349C">
              <w:rPr>
                <w:rFonts w:ascii="Tahoma" w:eastAsia="Times New Roman" w:hAnsi="Tahoma" w:cs="Tahoma"/>
                <w:b/>
                <w:bCs/>
                <w:i/>
                <w:iCs/>
                <w:color w:val="7A0000"/>
                <w:sz w:val="16"/>
                <w:szCs w:val="16"/>
                <w:lang w:eastAsia="fr-FR"/>
              </w:rPr>
              <w:t>milliers</w:t>
            </w:r>
            <w:proofErr w:type="spellEnd"/>
            <w:r w:rsidRPr="0022349C">
              <w:rPr>
                <w:rFonts w:ascii="Tahoma" w:eastAsia="Times New Roman" w:hAnsi="Tahoma" w:cs="Tahoma"/>
                <w:b/>
                <w:bCs/>
                <w:i/>
                <w:iCs/>
                <w:color w:val="7A0000"/>
                <w:sz w:val="16"/>
                <w:szCs w:val="16"/>
                <w:lang w:eastAsia="fr-FR"/>
              </w:rPr>
              <w:t xml:space="preserve"> </w:t>
            </w:r>
            <w:proofErr w:type="spellStart"/>
            <w:r w:rsidRPr="0022349C">
              <w:rPr>
                <w:rFonts w:ascii="Tahoma" w:eastAsia="Times New Roman" w:hAnsi="Tahoma" w:cs="Tahoma"/>
                <w:b/>
                <w:bCs/>
                <w:i/>
                <w:iCs/>
                <w:color w:val="7A0000"/>
                <w:sz w:val="16"/>
                <w:szCs w:val="16"/>
                <w:lang w:eastAsia="fr-FR"/>
              </w:rPr>
              <w:t>d’euros</w:t>
            </w:r>
            <w:proofErr w:type="spellEnd"/>
            <w:r w:rsidRPr="0022349C">
              <w:rPr>
                <w:rFonts w:ascii="Tahoma" w:eastAsia="Times New Roman" w:hAnsi="Tahoma" w:cs="Tahoma"/>
                <w:b/>
                <w:bCs/>
                <w:i/>
                <w:iCs/>
                <w:color w:val="7A0000"/>
                <w:sz w:val="16"/>
                <w:szCs w:val="16"/>
                <w:lang w:eastAsia="fr-FR"/>
              </w:rPr>
              <w:t>)</w:t>
            </w:r>
          </w:p>
        </w:tc>
        <w:tc>
          <w:tcPr>
            <w:tcW w:w="1646" w:type="dxa"/>
            <w:tcBorders>
              <w:top w:val="single" w:sz="4" w:space="0" w:color="7E8083"/>
              <w:left w:val="nil"/>
              <w:bottom w:val="single" w:sz="4" w:space="0" w:color="7E8083"/>
              <w:right w:val="nil"/>
            </w:tcBorders>
            <w:shd w:val="clear" w:color="000000" w:fill="D7E1E1"/>
            <w:vAlign w:val="bottom"/>
            <w:hideMark/>
          </w:tcPr>
          <w:p w14:paraId="5E4D6264" w14:textId="77777777" w:rsidR="00B00ACA" w:rsidRPr="0022349C" w:rsidRDefault="00B00ACA" w:rsidP="00C21F49">
            <w:pPr>
              <w:spacing w:after="0" w:line="240" w:lineRule="auto"/>
              <w:ind w:firstLineChars="100" w:firstLine="201"/>
              <w:jc w:val="right"/>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31/12/2023</w:t>
            </w:r>
          </w:p>
        </w:tc>
        <w:tc>
          <w:tcPr>
            <w:tcW w:w="1557" w:type="dxa"/>
            <w:tcBorders>
              <w:top w:val="single" w:sz="4" w:space="0" w:color="7E8083"/>
              <w:left w:val="nil"/>
              <w:bottom w:val="single" w:sz="4" w:space="0" w:color="7E8083"/>
              <w:right w:val="nil"/>
            </w:tcBorders>
            <w:shd w:val="clear" w:color="auto" w:fill="auto"/>
            <w:vAlign w:val="bottom"/>
            <w:hideMark/>
          </w:tcPr>
          <w:p w14:paraId="59C472A3" w14:textId="77777777" w:rsidR="00B00ACA" w:rsidRPr="0022349C" w:rsidRDefault="00B00ACA" w:rsidP="00C21F49">
            <w:pPr>
              <w:spacing w:after="0" w:line="240" w:lineRule="auto"/>
              <w:ind w:firstLineChars="100" w:firstLine="201"/>
              <w:jc w:val="right"/>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30/06/2023</w:t>
            </w:r>
          </w:p>
        </w:tc>
      </w:tr>
      <w:tr w:rsidR="00B00ACA" w:rsidRPr="0022349C" w14:paraId="380000BA" w14:textId="77777777" w:rsidTr="00C21F49">
        <w:trPr>
          <w:trHeight w:val="290"/>
        </w:trPr>
        <w:tc>
          <w:tcPr>
            <w:tcW w:w="5728" w:type="dxa"/>
            <w:tcBorders>
              <w:top w:val="nil"/>
              <w:left w:val="nil"/>
              <w:bottom w:val="nil"/>
              <w:right w:val="nil"/>
            </w:tcBorders>
            <w:shd w:val="clear" w:color="auto" w:fill="auto"/>
            <w:vAlign w:val="center"/>
            <w:hideMark/>
          </w:tcPr>
          <w:p w14:paraId="16090408"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Capital</w:t>
            </w:r>
          </w:p>
        </w:tc>
        <w:tc>
          <w:tcPr>
            <w:tcW w:w="1646" w:type="dxa"/>
            <w:tcBorders>
              <w:top w:val="nil"/>
              <w:left w:val="nil"/>
              <w:bottom w:val="nil"/>
              <w:right w:val="nil"/>
            </w:tcBorders>
            <w:shd w:val="clear" w:color="000000" w:fill="D7E1E1"/>
            <w:vAlign w:val="bottom"/>
            <w:hideMark/>
          </w:tcPr>
          <w:p w14:paraId="72EC5B21"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3 357  </w:t>
            </w:r>
          </w:p>
        </w:tc>
        <w:tc>
          <w:tcPr>
            <w:tcW w:w="1557" w:type="dxa"/>
            <w:tcBorders>
              <w:top w:val="nil"/>
              <w:left w:val="nil"/>
              <w:bottom w:val="nil"/>
              <w:right w:val="nil"/>
            </w:tcBorders>
            <w:shd w:val="clear" w:color="auto" w:fill="auto"/>
            <w:vAlign w:val="bottom"/>
            <w:hideMark/>
          </w:tcPr>
          <w:p w14:paraId="7070F1FA"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3 356  </w:t>
            </w:r>
          </w:p>
        </w:tc>
      </w:tr>
      <w:tr w:rsidR="00B00ACA" w:rsidRPr="0022349C" w14:paraId="4D630D61" w14:textId="77777777" w:rsidTr="00C21F49">
        <w:trPr>
          <w:trHeight w:val="290"/>
        </w:trPr>
        <w:tc>
          <w:tcPr>
            <w:tcW w:w="5728" w:type="dxa"/>
            <w:tcBorders>
              <w:top w:val="nil"/>
              <w:left w:val="nil"/>
              <w:bottom w:val="nil"/>
              <w:right w:val="nil"/>
            </w:tcBorders>
            <w:shd w:val="clear" w:color="auto" w:fill="auto"/>
            <w:vAlign w:val="center"/>
            <w:hideMark/>
          </w:tcPr>
          <w:p w14:paraId="7328B19D"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Primes </w:t>
            </w:r>
            <w:proofErr w:type="spellStart"/>
            <w:r w:rsidRPr="0022349C">
              <w:rPr>
                <w:rFonts w:ascii="Tahoma" w:eastAsia="Times New Roman" w:hAnsi="Tahoma" w:cs="Tahoma"/>
                <w:color w:val="231F20"/>
                <w:sz w:val="20"/>
                <w:szCs w:val="20"/>
                <w:lang w:eastAsia="fr-FR"/>
              </w:rPr>
              <w:t>liées</w:t>
            </w:r>
            <w:proofErr w:type="spellEnd"/>
            <w:r w:rsidRPr="0022349C">
              <w:rPr>
                <w:rFonts w:ascii="Tahoma" w:eastAsia="Times New Roman" w:hAnsi="Tahoma" w:cs="Tahoma"/>
                <w:color w:val="231F20"/>
                <w:sz w:val="20"/>
                <w:szCs w:val="20"/>
                <w:lang w:eastAsia="fr-FR"/>
              </w:rPr>
              <w:t xml:space="preserve"> au capital</w:t>
            </w:r>
          </w:p>
        </w:tc>
        <w:tc>
          <w:tcPr>
            <w:tcW w:w="1646" w:type="dxa"/>
            <w:tcBorders>
              <w:top w:val="nil"/>
              <w:left w:val="nil"/>
              <w:bottom w:val="nil"/>
              <w:right w:val="nil"/>
            </w:tcBorders>
            <w:shd w:val="clear" w:color="000000" w:fill="D7E1E1"/>
            <w:vAlign w:val="bottom"/>
            <w:hideMark/>
          </w:tcPr>
          <w:p w14:paraId="7B32D04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9 466  </w:t>
            </w:r>
          </w:p>
        </w:tc>
        <w:tc>
          <w:tcPr>
            <w:tcW w:w="1557" w:type="dxa"/>
            <w:tcBorders>
              <w:top w:val="nil"/>
              <w:left w:val="nil"/>
              <w:bottom w:val="nil"/>
              <w:right w:val="nil"/>
            </w:tcBorders>
            <w:shd w:val="clear" w:color="auto" w:fill="auto"/>
            <w:vAlign w:val="bottom"/>
            <w:hideMark/>
          </w:tcPr>
          <w:p w14:paraId="676CA0D6"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9 466  </w:t>
            </w:r>
          </w:p>
        </w:tc>
      </w:tr>
      <w:tr w:rsidR="00B00ACA" w:rsidRPr="0022349C" w14:paraId="7C10C711" w14:textId="77777777" w:rsidTr="00C21F49">
        <w:trPr>
          <w:trHeight w:val="290"/>
        </w:trPr>
        <w:tc>
          <w:tcPr>
            <w:tcW w:w="5728" w:type="dxa"/>
            <w:tcBorders>
              <w:top w:val="nil"/>
              <w:left w:val="nil"/>
              <w:bottom w:val="nil"/>
              <w:right w:val="nil"/>
            </w:tcBorders>
            <w:shd w:val="clear" w:color="auto" w:fill="auto"/>
            <w:vAlign w:val="center"/>
            <w:hideMark/>
          </w:tcPr>
          <w:p w14:paraId="6C0521B2"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Résultats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accumulés</w:t>
            </w:r>
            <w:proofErr w:type="spellEnd"/>
          </w:p>
        </w:tc>
        <w:tc>
          <w:tcPr>
            <w:tcW w:w="1646" w:type="dxa"/>
            <w:tcBorders>
              <w:top w:val="nil"/>
              <w:left w:val="nil"/>
              <w:bottom w:val="nil"/>
              <w:right w:val="nil"/>
            </w:tcBorders>
            <w:shd w:val="clear" w:color="000000" w:fill="D7E1E1"/>
            <w:vAlign w:val="bottom"/>
            <w:hideMark/>
          </w:tcPr>
          <w:p w14:paraId="1BEA933E"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67 626  </w:t>
            </w:r>
          </w:p>
        </w:tc>
        <w:tc>
          <w:tcPr>
            <w:tcW w:w="1557" w:type="dxa"/>
            <w:tcBorders>
              <w:top w:val="nil"/>
              <w:left w:val="nil"/>
              <w:bottom w:val="nil"/>
              <w:right w:val="nil"/>
            </w:tcBorders>
            <w:shd w:val="clear" w:color="auto" w:fill="auto"/>
            <w:vAlign w:val="bottom"/>
            <w:hideMark/>
          </w:tcPr>
          <w:p w14:paraId="111F6274"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74 827  </w:t>
            </w:r>
          </w:p>
        </w:tc>
      </w:tr>
      <w:tr w:rsidR="00B00ACA" w:rsidRPr="0022349C" w14:paraId="3C49FD14" w14:textId="77777777" w:rsidTr="00C21F49">
        <w:trPr>
          <w:trHeight w:val="290"/>
        </w:trPr>
        <w:tc>
          <w:tcPr>
            <w:tcW w:w="5728" w:type="dxa"/>
            <w:tcBorders>
              <w:top w:val="single" w:sz="4" w:space="0" w:color="7E8083"/>
              <w:left w:val="nil"/>
              <w:bottom w:val="single" w:sz="4" w:space="0" w:color="7E8083"/>
              <w:right w:val="nil"/>
            </w:tcBorders>
            <w:shd w:val="clear" w:color="auto" w:fill="auto"/>
            <w:vAlign w:val="center"/>
            <w:hideMark/>
          </w:tcPr>
          <w:p w14:paraId="2AB1C998" w14:textId="77777777" w:rsidR="00B00ACA" w:rsidRPr="00B00ACA" w:rsidRDefault="00B00ACA" w:rsidP="00C21F49">
            <w:pPr>
              <w:spacing w:after="0" w:line="240" w:lineRule="auto"/>
              <w:ind w:firstLineChars="100" w:firstLine="200"/>
              <w:rPr>
                <w:rFonts w:ascii="Tahoma" w:eastAsia="Times New Roman" w:hAnsi="Tahoma" w:cs="Tahoma"/>
                <w:sz w:val="20"/>
                <w:szCs w:val="20"/>
                <w:lang w:val="fr-FR" w:eastAsia="fr-FR"/>
              </w:rPr>
            </w:pPr>
            <w:r w:rsidRPr="00B00ACA">
              <w:rPr>
                <w:rFonts w:ascii="Tahoma" w:eastAsia="Times New Roman" w:hAnsi="Tahoma" w:cs="Tahoma"/>
                <w:sz w:val="20"/>
                <w:szCs w:val="20"/>
                <w:lang w:val="fr-FR" w:eastAsia="fr-FR"/>
              </w:rPr>
              <w:t>Capitaux propres attribuables aux propriétaires de la Société</w:t>
            </w:r>
          </w:p>
        </w:tc>
        <w:tc>
          <w:tcPr>
            <w:tcW w:w="1646" w:type="dxa"/>
            <w:tcBorders>
              <w:top w:val="single" w:sz="4" w:space="0" w:color="7E8083"/>
              <w:left w:val="nil"/>
              <w:bottom w:val="single" w:sz="4" w:space="0" w:color="7E8083"/>
              <w:right w:val="nil"/>
            </w:tcBorders>
            <w:shd w:val="clear" w:color="000000" w:fill="D7E1E1"/>
            <w:vAlign w:val="bottom"/>
            <w:hideMark/>
          </w:tcPr>
          <w:p w14:paraId="018F8DC9"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80 449  </w:t>
            </w:r>
          </w:p>
        </w:tc>
        <w:tc>
          <w:tcPr>
            <w:tcW w:w="1557" w:type="dxa"/>
            <w:tcBorders>
              <w:top w:val="single" w:sz="4" w:space="0" w:color="7E8083"/>
              <w:left w:val="nil"/>
              <w:bottom w:val="single" w:sz="4" w:space="0" w:color="7E8083"/>
              <w:right w:val="nil"/>
            </w:tcBorders>
            <w:shd w:val="clear" w:color="auto" w:fill="auto"/>
            <w:vAlign w:val="bottom"/>
            <w:hideMark/>
          </w:tcPr>
          <w:p w14:paraId="7B3F0905"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87 648  </w:t>
            </w:r>
          </w:p>
        </w:tc>
      </w:tr>
      <w:tr w:rsidR="00B00ACA" w:rsidRPr="0022349C" w14:paraId="7C888CD6" w14:textId="77777777" w:rsidTr="00C21F49">
        <w:trPr>
          <w:trHeight w:val="290"/>
        </w:trPr>
        <w:tc>
          <w:tcPr>
            <w:tcW w:w="5728" w:type="dxa"/>
            <w:tcBorders>
              <w:top w:val="nil"/>
              <w:left w:val="nil"/>
              <w:bottom w:val="single" w:sz="4" w:space="0" w:color="7E8083"/>
              <w:right w:val="nil"/>
            </w:tcBorders>
            <w:shd w:val="clear" w:color="auto" w:fill="auto"/>
            <w:vAlign w:val="center"/>
            <w:hideMark/>
          </w:tcPr>
          <w:p w14:paraId="7D7EBBCF" w14:textId="77777777" w:rsidR="00B00ACA" w:rsidRPr="00B00ACA" w:rsidRDefault="00B00ACA" w:rsidP="00C21F49">
            <w:pPr>
              <w:spacing w:after="0" w:line="240" w:lineRule="auto"/>
              <w:ind w:firstLineChars="100" w:firstLine="200"/>
              <w:rPr>
                <w:rFonts w:ascii="Tahoma" w:eastAsia="Times New Roman" w:hAnsi="Tahoma" w:cs="Tahoma"/>
                <w:sz w:val="20"/>
                <w:szCs w:val="20"/>
                <w:lang w:val="fr-FR" w:eastAsia="fr-FR"/>
              </w:rPr>
            </w:pPr>
            <w:r w:rsidRPr="00B00ACA">
              <w:rPr>
                <w:rFonts w:ascii="Tahoma" w:eastAsia="Times New Roman" w:hAnsi="Tahoma" w:cs="Tahoma"/>
                <w:sz w:val="20"/>
                <w:szCs w:val="20"/>
                <w:lang w:val="fr-FR" w:eastAsia="fr-FR"/>
              </w:rPr>
              <w:t>Participations ne donnant pas le contrôle</w:t>
            </w:r>
          </w:p>
        </w:tc>
        <w:tc>
          <w:tcPr>
            <w:tcW w:w="1646" w:type="dxa"/>
            <w:tcBorders>
              <w:top w:val="nil"/>
              <w:left w:val="nil"/>
              <w:bottom w:val="single" w:sz="4" w:space="0" w:color="7E8083"/>
              <w:right w:val="nil"/>
            </w:tcBorders>
            <w:shd w:val="clear" w:color="000000" w:fill="D7E1E1"/>
            <w:vAlign w:val="bottom"/>
            <w:hideMark/>
          </w:tcPr>
          <w:p w14:paraId="01F7E259"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2 933  </w:t>
            </w:r>
          </w:p>
        </w:tc>
        <w:tc>
          <w:tcPr>
            <w:tcW w:w="1557" w:type="dxa"/>
            <w:tcBorders>
              <w:top w:val="nil"/>
              <w:left w:val="nil"/>
              <w:bottom w:val="single" w:sz="4" w:space="0" w:color="7E8083"/>
              <w:right w:val="nil"/>
            </w:tcBorders>
            <w:shd w:val="clear" w:color="auto" w:fill="auto"/>
            <w:vAlign w:val="bottom"/>
            <w:hideMark/>
          </w:tcPr>
          <w:p w14:paraId="1DB32469"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443  </w:t>
            </w:r>
          </w:p>
        </w:tc>
      </w:tr>
      <w:tr w:rsidR="00B00ACA" w:rsidRPr="0022349C" w14:paraId="07E86525" w14:textId="77777777" w:rsidTr="00C21F49">
        <w:trPr>
          <w:trHeight w:val="290"/>
        </w:trPr>
        <w:tc>
          <w:tcPr>
            <w:tcW w:w="5728" w:type="dxa"/>
            <w:tcBorders>
              <w:top w:val="nil"/>
              <w:left w:val="nil"/>
              <w:bottom w:val="single" w:sz="4" w:space="0" w:color="7E8083"/>
              <w:right w:val="nil"/>
            </w:tcBorders>
            <w:shd w:val="clear" w:color="auto" w:fill="auto"/>
            <w:vAlign w:val="center"/>
            <w:hideMark/>
          </w:tcPr>
          <w:p w14:paraId="1D8FE388" w14:textId="77777777" w:rsidR="00B00ACA" w:rsidRPr="0022349C" w:rsidRDefault="00B00ACA" w:rsidP="00C21F49">
            <w:pPr>
              <w:spacing w:after="0" w:line="240" w:lineRule="auto"/>
              <w:ind w:firstLineChars="100" w:firstLine="200"/>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 xml:space="preserve">Total des </w:t>
            </w:r>
            <w:proofErr w:type="spellStart"/>
            <w:r w:rsidRPr="0022349C">
              <w:rPr>
                <w:rFonts w:ascii="Tahoma" w:eastAsia="Times New Roman" w:hAnsi="Tahoma" w:cs="Tahoma"/>
                <w:color w:val="7A0000"/>
                <w:sz w:val="20"/>
                <w:szCs w:val="20"/>
                <w:lang w:eastAsia="fr-FR"/>
              </w:rPr>
              <w:t>capitaux</w:t>
            </w:r>
            <w:proofErr w:type="spellEnd"/>
            <w:r w:rsidRPr="0022349C">
              <w:rPr>
                <w:rFonts w:ascii="Tahoma" w:eastAsia="Times New Roman" w:hAnsi="Tahoma" w:cs="Tahoma"/>
                <w:color w:val="7A0000"/>
                <w:sz w:val="20"/>
                <w:szCs w:val="20"/>
                <w:lang w:eastAsia="fr-FR"/>
              </w:rPr>
              <w:t xml:space="preserve"> </w:t>
            </w:r>
            <w:proofErr w:type="spellStart"/>
            <w:r w:rsidRPr="0022349C">
              <w:rPr>
                <w:rFonts w:ascii="Tahoma" w:eastAsia="Times New Roman" w:hAnsi="Tahoma" w:cs="Tahoma"/>
                <w:color w:val="7A0000"/>
                <w:sz w:val="20"/>
                <w:szCs w:val="20"/>
                <w:lang w:eastAsia="fr-FR"/>
              </w:rPr>
              <w:t>propres</w:t>
            </w:r>
            <w:proofErr w:type="spellEnd"/>
          </w:p>
        </w:tc>
        <w:tc>
          <w:tcPr>
            <w:tcW w:w="1646" w:type="dxa"/>
            <w:tcBorders>
              <w:top w:val="nil"/>
              <w:left w:val="nil"/>
              <w:bottom w:val="single" w:sz="4" w:space="0" w:color="7E8083"/>
              <w:right w:val="nil"/>
            </w:tcBorders>
            <w:shd w:val="clear" w:color="000000" w:fill="D7E1E1"/>
            <w:vAlign w:val="bottom"/>
            <w:hideMark/>
          </w:tcPr>
          <w:p w14:paraId="3418A090"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 xml:space="preserve">83 381  </w:t>
            </w:r>
          </w:p>
        </w:tc>
        <w:tc>
          <w:tcPr>
            <w:tcW w:w="1557" w:type="dxa"/>
            <w:tcBorders>
              <w:top w:val="nil"/>
              <w:left w:val="nil"/>
              <w:bottom w:val="single" w:sz="4" w:space="0" w:color="7E8083"/>
              <w:right w:val="nil"/>
            </w:tcBorders>
            <w:shd w:val="clear" w:color="auto" w:fill="auto"/>
            <w:vAlign w:val="bottom"/>
            <w:hideMark/>
          </w:tcPr>
          <w:p w14:paraId="2FD48B15"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 xml:space="preserve">88 091  </w:t>
            </w:r>
          </w:p>
        </w:tc>
      </w:tr>
      <w:tr w:rsidR="00B00ACA" w:rsidRPr="0022349C" w14:paraId="2AAC5BD1" w14:textId="77777777" w:rsidTr="00C21F49">
        <w:trPr>
          <w:trHeight w:val="120"/>
        </w:trPr>
        <w:tc>
          <w:tcPr>
            <w:tcW w:w="5728" w:type="dxa"/>
            <w:tcBorders>
              <w:top w:val="nil"/>
              <w:left w:val="nil"/>
              <w:bottom w:val="nil"/>
              <w:right w:val="nil"/>
            </w:tcBorders>
            <w:shd w:val="clear" w:color="auto" w:fill="auto"/>
            <w:vAlign w:val="center"/>
            <w:hideMark/>
          </w:tcPr>
          <w:p w14:paraId="797CFEF9"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p>
        </w:tc>
        <w:tc>
          <w:tcPr>
            <w:tcW w:w="1646" w:type="dxa"/>
            <w:tcBorders>
              <w:top w:val="nil"/>
              <w:left w:val="nil"/>
              <w:bottom w:val="nil"/>
              <w:right w:val="nil"/>
            </w:tcBorders>
            <w:shd w:val="clear" w:color="000000" w:fill="D7E1E1"/>
            <w:vAlign w:val="bottom"/>
            <w:hideMark/>
          </w:tcPr>
          <w:p w14:paraId="4B4EA20C" w14:textId="77777777" w:rsidR="00B00ACA" w:rsidRPr="0022349C" w:rsidRDefault="00B00ACA" w:rsidP="00C21F49">
            <w:pPr>
              <w:spacing w:after="0" w:line="240" w:lineRule="auto"/>
              <w:ind w:firstLineChars="100" w:firstLine="200"/>
              <w:jc w:val="right"/>
              <w:rPr>
                <w:rFonts w:ascii="Tahoma" w:eastAsia="Times New Roman" w:hAnsi="Tahoma" w:cs="Tahoma"/>
                <w:color w:val="000000"/>
                <w:sz w:val="20"/>
                <w:szCs w:val="20"/>
                <w:lang w:eastAsia="fr-FR"/>
              </w:rPr>
            </w:pPr>
            <w:r w:rsidRPr="0022349C">
              <w:rPr>
                <w:rFonts w:ascii="Tahoma" w:eastAsia="Times New Roman" w:hAnsi="Tahoma" w:cs="Tahoma"/>
                <w:color w:val="000000"/>
                <w:sz w:val="20"/>
                <w:szCs w:val="20"/>
                <w:lang w:eastAsia="fr-FR"/>
              </w:rPr>
              <w:t> </w:t>
            </w:r>
          </w:p>
        </w:tc>
        <w:tc>
          <w:tcPr>
            <w:tcW w:w="1557" w:type="dxa"/>
            <w:tcBorders>
              <w:top w:val="nil"/>
              <w:left w:val="nil"/>
              <w:bottom w:val="nil"/>
              <w:right w:val="nil"/>
            </w:tcBorders>
            <w:shd w:val="clear" w:color="auto" w:fill="auto"/>
            <w:vAlign w:val="bottom"/>
            <w:hideMark/>
          </w:tcPr>
          <w:p w14:paraId="22AB8F7C" w14:textId="77777777" w:rsidR="00B00ACA" w:rsidRPr="0022349C" w:rsidRDefault="00B00ACA" w:rsidP="00C21F49">
            <w:pPr>
              <w:spacing w:after="0" w:line="240" w:lineRule="auto"/>
              <w:ind w:firstLineChars="100" w:firstLine="200"/>
              <w:jc w:val="right"/>
              <w:rPr>
                <w:rFonts w:ascii="Tahoma" w:eastAsia="Times New Roman" w:hAnsi="Tahoma" w:cs="Tahoma"/>
                <w:color w:val="000000"/>
                <w:sz w:val="20"/>
                <w:szCs w:val="20"/>
                <w:lang w:eastAsia="fr-FR"/>
              </w:rPr>
            </w:pPr>
          </w:p>
        </w:tc>
      </w:tr>
      <w:tr w:rsidR="00B00ACA" w:rsidRPr="0022349C" w14:paraId="2F6E6922" w14:textId="77777777" w:rsidTr="00C21F49">
        <w:trPr>
          <w:trHeight w:val="290"/>
        </w:trPr>
        <w:tc>
          <w:tcPr>
            <w:tcW w:w="5728" w:type="dxa"/>
            <w:tcBorders>
              <w:top w:val="nil"/>
              <w:left w:val="nil"/>
              <w:bottom w:val="single" w:sz="4" w:space="0" w:color="7E8083"/>
              <w:right w:val="nil"/>
            </w:tcBorders>
            <w:shd w:val="clear" w:color="auto" w:fill="auto"/>
            <w:vAlign w:val="center"/>
            <w:hideMark/>
          </w:tcPr>
          <w:p w14:paraId="314B3D9D" w14:textId="77777777" w:rsidR="00B00ACA" w:rsidRPr="0022349C" w:rsidRDefault="00B00ACA" w:rsidP="00C21F49">
            <w:pPr>
              <w:spacing w:after="0" w:line="240" w:lineRule="auto"/>
              <w:ind w:firstLineChars="100" w:firstLine="200"/>
              <w:rPr>
                <w:rFonts w:ascii="Tahoma" w:eastAsia="Times New Roman" w:hAnsi="Tahoma" w:cs="Tahoma"/>
                <w:color w:val="7A0000"/>
                <w:sz w:val="20"/>
                <w:szCs w:val="20"/>
                <w:lang w:eastAsia="fr-FR"/>
              </w:rPr>
            </w:pPr>
            <w:proofErr w:type="spellStart"/>
            <w:r w:rsidRPr="0022349C">
              <w:rPr>
                <w:rFonts w:ascii="Tahoma" w:eastAsia="Times New Roman" w:hAnsi="Tahoma" w:cs="Tahoma"/>
                <w:color w:val="7A0000"/>
                <w:sz w:val="20"/>
                <w:szCs w:val="20"/>
                <w:lang w:eastAsia="fr-FR"/>
              </w:rPr>
              <w:t>Passifs</w:t>
            </w:r>
            <w:proofErr w:type="spellEnd"/>
            <w:r w:rsidRPr="0022349C">
              <w:rPr>
                <w:rFonts w:ascii="Tahoma" w:eastAsia="Times New Roman" w:hAnsi="Tahoma" w:cs="Tahoma"/>
                <w:color w:val="7A0000"/>
                <w:sz w:val="20"/>
                <w:szCs w:val="20"/>
                <w:lang w:eastAsia="fr-FR"/>
              </w:rPr>
              <w:t xml:space="preserve"> non courants</w:t>
            </w:r>
          </w:p>
        </w:tc>
        <w:tc>
          <w:tcPr>
            <w:tcW w:w="1646" w:type="dxa"/>
            <w:tcBorders>
              <w:top w:val="nil"/>
              <w:left w:val="nil"/>
              <w:bottom w:val="single" w:sz="4" w:space="0" w:color="7E8083"/>
              <w:right w:val="nil"/>
            </w:tcBorders>
            <w:shd w:val="clear" w:color="000000" w:fill="D7E1E1"/>
            <w:vAlign w:val="bottom"/>
            <w:hideMark/>
          </w:tcPr>
          <w:p w14:paraId="2E877DF6"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377 912</w:t>
            </w:r>
          </w:p>
        </w:tc>
        <w:tc>
          <w:tcPr>
            <w:tcW w:w="1557" w:type="dxa"/>
            <w:tcBorders>
              <w:top w:val="nil"/>
              <w:left w:val="nil"/>
              <w:bottom w:val="single" w:sz="4" w:space="0" w:color="7E8083"/>
              <w:right w:val="nil"/>
            </w:tcBorders>
            <w:shd w:val="clear" w:color="auto" w:fill="auto"/>
            <w:vAlign w:val="bottom"/>
            <w:hideMark/>
          </w:tcPr>
          <w:p w14:paraId="1EF81C9D"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344 004</w:t>
            </w:r>
          </w:p>
        </w:tc>
      </w:tr>
      <w:tr w:rsidR="00B00ACA" w:rsidRPr="0022349C" w14:paraId="06922691" w14:textId="77777777" w:rsidTr="00C21F49">
        <w:trPr>
          <w:trHeight w:val="290"/>
        </w:trPr>
        <w:tc>
          <w:tcPr>
            <w:tcW w:w="5728" w:type="dxa"/>
            <w:tcBorders>
              <w:top w:val="nil"/>
              <w:left w:val="nil"/>
              <w:bottom w:val="nil"/>
              <w:right w:val="nil"/>
            </w:tcBorders>
            <w:shd w:val="clear" w:color="auto" w:fill="auto"/>
            <w:vAlign w:val="center"/>
            <w:hideMark/>
          </w:tcPr>
          <w:p w14:paraId="39C41CBC"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Emprunts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obligataires</w:t>
            </w:r>
            <w:proofErr w:type="spellEnd"/>
          </w:p>
        </w:tc>
        <w:tc>
          <w:tcPr>
            <w:tcW w:w="1646" w:type="dxa"/>
            <w:tcBorders>
              <w:top w:val="nil"/>
              <w:left w:val="nil"/>
              <w:bottom w:val="nil"/>
              <w:right w:val="nil"/>
            </w:tcBorders>
            <w:shd w:val="clear" w:color="000000" w:fill="D7E1E1"/>
            <w:vAlign w:val="bottom"/>
            <w:hideMark/>
          </w:tcPr>
          <w:p w14:paraId="338F3AE7"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25 279  </w:t>
            </w:r>
          </w:p>
        </w:tc>
        <w:tc>
          <w:tcPr>
            <w:tcW w:w="1557" w:type="dxa"/>
            <w:tcBorders>
              <w:top w:val="nil"/>
              <w:left w:val="nil"/>
              <w:bottom w:val="nil"/>
              <w:right w:val="nil"/>
            </w:tcBorders>
            <w:shd w:val="clear" w:color="auto" w:fill="auto"/>
            <w:vAlign w:val="bottom"/>
            <w:hideMark/>
          </w:tcPr>
          <w:p w14:paraId="18D38B42"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0  </w:t>
            </w:r>
          </w:p>
        </w:tc>
      </w:tr>
      <w:tr w:rsidR="00B00ACA" w:rsidRPr="0022349C" w14:paraId="3E362FCF" w14:textId="77777777" w:rsidTr="00C21F49">
        <w:trPr>
          <w:trHeight w:val="290"/>
        </w:trPr>
        <w:tc>
          <w:tcPr>
            <w:tcW w:w="5728" w:type="dxa"/>
            <w:tcBorders>
              <w:top w:val="nil"/>
              <w:left w:val="nil"/>
              <w:bottom w:val="nil"/>
              <w:right w:val="nil"/>
            </w:tcBorders>
            <w:shd w:val="clear" w:color="auto" w:fill="auto"/>
            <w:vAlign w:val="center"/>
            <w:hideMark/>
          </w:tcPr>
          <w:p w14:paraId="2FDE3602"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Emprunts et dettes financières non courants</w:t>
            </w:r>
          </w:p>
        </w:tc>
        <w:tc>
          <w:tcPr>
            <w:tcW w:w="1646" w:type="dxa"/>
            <w:tcBorders>
              <w:top w:val="nil"/>
              <w:left w:val="nil"/>
              <w:bottom w:val="nil"/>
              <w:right w:val="nil"/>
            </w:tcBorders>
            <w:shd w:val="clear" w:color="000000" w:fill="D7E1E1"/>
            <w:vAlign w:val="bottom"/>
            <w:hideMark/>
          </w:tcPr>
          <w:p w14:paraId="7ACAC071"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287 083  </w:t>
            </w:r>
          </w:p>
        </w:tc>
        <w:tc>
          <w:tcPr>
            <w:tcW w:w="1557" w:type="dxa"/>
            <w:tcBorders>
              <w:top w:val="nil"/>
              <w:left w:val="nil"/>
              <w:bottom w:val="nil"/>
              <w:right w:val="nil"/>
            </w:tcBorders>
            <w:shd w:val="clear" w:color="auto" w:fill="auto"/>
            <w:vAlign w:val="bottom"/>
            <w:hideMark/>
          </w:tcPr>
          <w:p w14:paraId="4F45A776"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275 342  </w:t>
            </w:r>
          </w:p>
        </w:tc>
      </w:tr>
      <w:tr w:rsidR="00B00ACA" w:rsidRPr="0022349C" w14:paraId="29D69948" w14:textId="77777777" w:rsidTr="00C21F49">
        <w:trPr>
          <w:trHeight w:val="290"/>
        </w:trPr>
        <w:tc>
          <w:tcPr>
            <w:tcW w:w="5728" w:type="dxa"/>
            <w:tcBorders>
              <w:top w:val="nil"/>
              <w:left w:val="nil"/>
              <w:bottom w:val="nil"/>
              <w:right w:val="nil"/>
            </w:tcBorders>
            <w:shd w:val="clear" w:color="auto" w:fill="auto"/>
            <w:vAlign w:val="center"/>
            <w:hideMark/>
          </w:tcPr>
          <w:p w14:paraId="3FD4FF27"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Obligations locatives non </w:t>
            </w:r>
            <w:proofErr w:type="spellStart"/>
            <w:r w:rsidRPr="0022349C">
              <w:rPr>
                <w:rFonts w:ascii="Tahoma" w:eastAsia="Times New Roman" w:hAnsi="Tahoma" w:cs="Tahoma"/>
                <w:color w:val="231F20"/>
                <w:sz w:val="20"/>
                <w:szCs w:val="20"/>
                <w:lang w:eastAsia="fr-FR"/>
              </w:rPr>
              <w:t>courantes</w:t>
            </w:r>
            <w:proofErr w:type="spellEnd"/>
          </w:p>
        </w:tc>
        <w:tc>
          <w:tcPr>
            <w:tcW w:w="1646" w:type="dxa"/>
            <w:tcBorders>
              <w:top w:val="nil"/>
              <w:left w:val="nil"/>
              <w:bottom w:val="nil"/>
              <w:right w:val="nil"/>
            </w:tcBorders>
            <w:shd w:val="clear" w:color="000000" w:fill="D7E1E1"/>
            <w:vAlign w:val="bottom"/>
            <w:hideMark/>
          </w:tcPr>
          <w:p w14:paraId="694D44AC"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57 128  </w:t>
            </w:r>
          </w:p>
        </w:tc>
        <w:tc>
          <w:tcPr>
            <w:tcW w:w="1557" w:type="dxa"/>
            <w:tcBorders>
              <w:top w:val="nil"/>
              <w:left w:val="nil"/>
              <w:bottom w:val="nil"/>
              <w:right w:val="nil"/>
            </w:tcBorders>
            <w:shd w:val="clear" w:color="auto" w:fill="auto"/>
            <w:vAlign w:val="bottom"/>
            <w:hideMark/>
          </w:tcPr>
          <w:p w14:paraId="54505B97"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59 770  </w:t>
            </w:r>
          </w:p>
        </w:tc>
      </w:tr>
      <w:tr w:rsidR="00B00ACA" w:rsidRPr="0022349C" w14:paraId="3BD053C5" w14:textId="77777777" w:rsidTr="00C21F49">
        <w:trPr>
          <w:trHeight w:val="290"/>
        </w:trPr>
        <w:tc>
          <w:tcPr>
            <w:tcW w:w="5728" w:type="dxa"/>
            <w:tcBorders>
              <w:top w:val="nil"/>
              <w:left w:val="nil"/>
              <w:bottom w:val="nil"/>
              <w:right w:val="nil"/>
            </w:tcBorders>
            <w:shd w:val="clear" w:color="auto" w:fill="auto"/>
            <w:vAlign w:val="center"/>
            <w:hideMark/>
          </w:tcPr>
          <w:p w14:paraId="28C32870"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Provisions non </w:t>
            </w:r>
            <w:proofErr w:type="spellStart"/>
            <w:r w:rsidRPr="0022349C">
              <w:rPr>
                <w:rFonts w:ascii="Tahoma" w:eastAsia="Times New Roman" w:hAnsi="Tahoma" w:cs="Tahoma"/>
                <w:color w:val="231F20"/>
                <w:sz w:val="20"/>
                <w:szCs w:val="20"/>
                <w:lang w:eastAsia="fr-FR"/>
              </w:rPr>
              <w:t>courantes</w:t>
            </w:r>
            <w:proofErr w:type="spellEnd"/>
          </w:p>
        </w:tc>
        <w:tc>
          <w:tcPr>
            <w:tcW w:w="1646" w:type="dxa"/>
            <w:tcBorders>
              <w:top w:val="nil"/>
              <w:left w:val="nil"/>
              <w:bottom w:val="nil"/>
              <w:right w:val="nil"/>
            </w:tcBorders>
            <w:shd w:val="clear" w:color="000000" w:fill="D7E1E1"/>
            <w:vAlign w:val="bottom"/>
            <w:hideMark/>
          </w:tcPr>
          <w:p w14:paraId="61F31CE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1 862  </w:t>
            </w:r>
          </w:p>
        </w:tc>
        <w:tc>
          <w:tcPr>
            <w:tcW w:w="1557" w:type="dxa"/>
            <w:tcBorders>
              <w:top w:val="nil"/>
              <w:left w:val="nil"/>
              <w:bottom w:val="nil"/>
              <w:right w:val="nil"/>
            </w:tcBorders>
            <w:shd w:val="clear" w:color="auto" w:fill="auto"/>
            <w:vAlign w:val="bottom"/>
            <w:hideMark/>
          </w:tcPr>
          <w:p w14:paraId="46A82641"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1 882  </w:t>
            </w:r>
          </w:p>
        </w:tc>
      </w:tr>
      <w:tr w:rsidR="00B00ACA" w:rsidRPr="0022349C" w14:paraId="7A824351" w14:textId="77777777" w:rsidTr="00C21F49">
        <w:trPr>
          <w:trHeight w:val="290"/>
        </w:trPr>
        <w:tc>
          <w:tcPr>
            <w:tcW w:w="5728" w:type="dxa"/>
            <w:tcBorders>
              <w:top w:val="nil"/>
              <w:left w:val="nil"/>
              <w:bottom w:val="nil"/>
              <w:right w:val="nil"/>
            </w:tcBorders>
            <w:shd w:val="clear" w:color="auto" w:fill="auto"/>
            <w:vAlign w:val="center"/>
            <w:hideMark/>
          </w:tcPr>
          <w:p w14:paraId="422A8355"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Passif</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d'impôts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différés</w:t>
            </w:r>
            <w:proofErr w:type="spellEnd"/>
          </w:p>
        </w:tc>
        <w:tc>
          <w:tcPr>
            <w:tcW w:w="1646" w:type="dxa"/>
            <w:tcBorders>
              <w:top w:val="nil"/>
              <w:left w:val="nil"/>
              <w:bottom w:val="nil"/>
              <w:right w:val="nil"/>
            </w:tcBorders>
            <w:shd w:val="clear" w:color="000000" w:fill="D7E1E1"/>
            <w:vAlign w:val="bottom"/>
            <w:hideMark/>
          </w:tcPr>
          <w:p w14:paraId="73FD3AC1"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2 973  </w:t>
            </w:r>
          </w:p>
        </w:tc>
        <w:tc>
          <w:tcPr>
            <w:tcW w:w="1557" w:type="dxa"/>
            <w:tcBorders>
              <w:top w:val="nil"/>
              <w:left w:val="nil"/>
              <w:bottom w:val="nil"/>
              <w:right w:val="nil"/>
            </w:tcBorders>
            <w:shd w:val="clear" w:color="auto" w:fill="auto"/>
            <w:vAlign w:val="bottom"/>
            <w:hideMark/>
          </w:tcPr>
          <w:p w14:paraId="54C3E70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4 323  </w:t>
            </w:r>
          </w:p>
        </w:tc>
      </w:tr>
      <w:tr w:rsidR="00B00ACA" w:rsidRPr="0022349C" w14:paraId="19F44DBF" w14:textId="77777777" w:rsidTr="00C21F49">
        <w:trPr>
          <w:trHeight w:val="290"/>
        </w:trPr>
        <w:tc>
          <w:tcPr>
            <w:tcW w:w="5728" w:type="dxa"/>
            <w:tcBorders>
              <w:top w:val="nil"/>
              <w:left w:val="nil"/>
              <w:bottom w:val="nil"/>
              <w:right w:val="nil"/>
            </w:tcBorders>
            <w:shd w:val="clear" w:color="auto" w:fill="auto"/>
            <w:vAlign w:val="center"/>
            <w:hideMark/>
          </w:tcPr>
          <w:p w14:paraId="725D6379"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Autres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passifs</w:t>
            </w:r>
            <w:proofErr w:type="spellEnd"/>
            <w:r w:rsidRPr="0022349C">
              <w:rPr>
                <w:rFonts w:ascii="Tahoma" w:eastAsia="Times New Roman" w:hAnsi="Tahoma" w:cs="Tahoma"/>
                <w:color w:val="231F20"/>
                <w:sz w:val="20"/>
                <w:szCs w:val="20"/>
                <w:lang w:eastAsia="fr-FR"/>
              </w:rPr>
              <w:t xml:space="preserve"> non courants</w:t>
            </w:r>
          </w:p>
        </w:tc>
        <w:tc>
          <w:tcPr>
            <w:tcW w:w="1646" w:type="dxa"/>
            <w:tcBorders>
              <w:top w:val="nil"/>
              <w:left w:val="nil"/>
              <w:bottom w:val="nil"/>
              <w:right w:val="nil"/>
            </w:tcBorders>
            <w:shd w:val="clear" w:color="000000" w:fill="D7E1E1"/>
            <w:vAlign w:val="bottom"/>
            <w:hideMark/>
          </w:tcPr>
          <w:p w14:paraId="03BE0C47"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3 587  </w:t>
            </w:r>
          </w:p>
        </w:tc>
        <w:tc>
          <w:tcPr>
            <w:tcW w:w="1557" w:type="dxa"/>
            <w:tcBorders>
              <w:top w:val="nil"/>
              <w:left w:val="nil"/>
              <w:bottom w:val="nil"/>
              <w:right w:val="nil"/>
            </w:tcBorders>
            <w:shd w:val="clear" w:color="auto" w:fill="auto"/>
            <w:vAlign w:val="bottom"/>
            <w:hideMark/>
          </w:tcPr>
          <w:p w14:paraId="2CE9A1E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2 687  </w:t>
            </w:r>
          </w:p>
        </w:tc>
      </w:tr>
      <w:tr w:rsidR="00B00ACA" w:rsidRPr="0022349C" w14:paraId="5296F597" w14:textId="77777777" w:rsidTr="00C21F49">
        <w:trPr>
          <w:trHeight w:val="90"/>
        </w:trPr>
        <w:tc>
          <w:tcPr>
            <w:tcW w:w="5728" w:type="dxa"/>
            <w:tcBorders>
              <w:top w:val="nil"/>
              <w:left w:val="nil"/>
              <w:bottom w:val="nil"/>
              <w:right w:val="nil"/>
            </w:tcBorders>
            <w:shd w:val="clear" w:color="auto" w:fill="auto"/>
            <w:vAlign w:val="center"/>
            <w:hideMark/>
          </w:tcPr>
          <w:p w14:paraId="4C57486A"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p>
        </w:tc>
        <w:tc>
          <w:tcPr>
            <w:tcW w:w="1646" w:type="dxa"/>
            <w:tcBorders>
              <w:top w:val="nil"/>
              <w:left w:val="nil"/>
              <w:bottom w:val="nil"/>
              <w:right w:val="nil"/>
            </w:tcBorders>
            <w:shd w:val="clear" w:color="000000" w:fill="D7E1E1"/>
            <w:vAlign w:val="bottom"/>
            <w:hideMark/>
          </w:tcPr>
          <w:p w14:paraId="4B81F4E8" w14:textId="77777777" w:rsidR="00B00ACA" w:rsidRPr="0022349C" w:rsidRDefault="00B00ACA" w:rsidP="00C21F49">
            <w:pPr>
              <w:spacing w:after="0" w:line="240" w:lineRule="auto"/>
              <w:ind w:firstLineChars="100" w:firstLine="200"/>
              <w:jc w:val="right"/>
              <w:rPr>
                <w:rFonts w:ascii="Tahoma" w:eastAsia="Times New Roman" w:hAnsi="Tahoma" w:cs="Tahoma"/>
                <w:color w:val="000000"/>
                <w:sz w:val="20"/>
                <w:szCs w:val="20"/>
                <w:lang w:eastAsia="fr-FR"/>
              </w:rPr>
            </w:pPr>
            <w:r w:rsidRPr="0022349C">
              <w:rPr>
                <w:rFonts w:ascii="Tahoma" w:eastAsia="Times New Roman" w:hAnsi="Tahoma" w:cs="Tahoma"/>
                <w:color w:val="000000"/>
                <w:sz w:val="20"/>
                <w:szCs w:val="20"/>
                <w:lang w:eastAsia="fr-FR"/>
              </w:rPr>
              <w:t> </w:t>
            </w:r>
          </w:p>
        </w:tc>
        <w:tc>
          <w:tcPr>
            <w:tcW w:w="1557" w:type="dxa"/>
            <w:tcBorders>
              <w:top w:val="nil"/>
              <w:left w:val="nil"/>
              <w:bottom w:val="nil"/>
              <w:right w:val="nil"/>
            </w:tcBorders>
            <w:shd w:val="clear" w:color="auto" w:fill="auto"/>
            <w:vAlign w:val="bottom"/>
            <w:hideMark/>
          </w:tcPr>
          <w:p w14:paraId="539D3F6C" w14:textId="77777777" w:rsidR="00B00ACA" w:rsidRPr="0022349C" w:rsidRDefault="00B00ACA" w:rsidP="00C21F49">
            <w:pPr>
              <w:spacing w:after="0" w:line="240" w:lineRule="auto"/>
              <w:ind w:firstLineChars="100" w:firstLine="200"/>
              <w:jc w:val="right"/>
              <w:rPr>
                <w:rFonts w:ascii="Tahoma" w:eastAsia="Times New Roman" w:hAnsi="Tahoma" w:cs="Tahoma"/>
                <w:color w:val="000000"/>
                <w:sz w:val="20"/>
                <w:szCs w:val="20"/>
                <w:lang w:eastAsia="fr-FR"/>
              </w:rPr>
            </w:pPr>
          </w:p>
        </w:tc>
      </w:tr>
      <w:tr w:rsidR="00B00ACA" w:rsidRPr="0022349C" w14:paraId="64318712" w14:textId="77777777" w:rsidTr="00C21F49">
        <w:trPr>
          <w:trHeight w:val="290"/>
        </w:trPr>
        <w:tc>
          <w:tcPr>
            <w:tcW w:w="5728" w:type="dxa"/>
            <w:tcBorders>
              <w:top w:val="nil"/>
              <w:left w:val="nil"/>
              <w:bottom w:val="single" w:sz="4" w:space="0" w:color="7E8083"/>
              <w:right w:val="nil"/>
            </w:tcBorders>
            <w:shd w:val="clear" w:color="auto" w:fill="auto"/>
            <w:vAlign w:val="center"/>
            <w:hideMark/>
          </w:tcPr>
          <w:p w14:paraId="04587627" w14:textId="77777777" w:rsidR="00B00ACA" w:rsidRPr="0022349C" w:rsidRDefault="00B00ACA" w:rsidP="00C21F49">
            <w:pPr>
              <w:spacing w:after="0" w:line="240" w:lineRule="auto"/>
              <w:ind w:firstLineChars="100" w:firstLine="200"/>
              <w:rPr>
                <w:rFonts w:ascii="Tahoma" w:eastAsia="Times New Roman" w:hAnsi="Tahoma" w:cs="Tahoma"/>
                <w:color w:val="7A0000"/>
                <w:sz w:val="20"/>
                <w:szCs w:val="20"/>
                <w:lang w:eastAsia="fr-FR"/>
              </w:rPr>
            </w:pPr>
            <w:proofErr w:type="spellStart"/>
            <w:r w:rsidRPr="0022349C">
              <w:rPr>
                <w:rFonts w:ascii="Tahoma" w:eastAsia="Times New Roman" w:hAnsi="Tahoma" w:cs="Tahoma"/>
                <w:color w:val="7A0000"/>
                <w:sz w:val="20"/>
                <w:szCs w:val="20"/>
                <w:lang w:eastAsia="fr-FR"/>
              </w:rPr>
              <w:t>Passifs</w:t>
            </w:r>
            <w:proofErr w:type="spellEnd"/>
            <w:r w:rsidRPr="0022349C">
              <w:rPr>
                <w:rFonts w:ascii="Tahoma" w:eastAsia="Times New Roman" w:hAnsi="Tahoma" w:cs="Tahoma"/>
                <w:color w:val="7A0000"/>
                <w:sz w:val="20"/>
                <w:szCs w:val="20"/>
                <w:lang w:eastAsia="fr-FR"/>
              </w:rPr>
              <w:t xml:space="preserve"> courants</w:t>
            </w:r>
          </w:p>
        </w:tc>
        <w:tc>
          <w:tcPr>
            <w:tcW w:w="1646" w:type="dxa"/>
            <w:tcBorders>
              <w:top w:val="nil"/>
              <w:left w:val="nil"/>
              <w:bottom w:val="single" w:sz="4" w:space="0" w:color="7E8083"/>
              <w:right w:val="nil"/>
            </w:tcBorders>
            <w:shd w:val="clear" w:color="000000" w:fill="D7E1E1"/>
            <w:vAlign w:val="bottom"/>
            <w:hideMark/>
          </w:tcPr>
          <w:p w14:paraId="50B976E8"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198 069</w:t>
            </w:r>
          </w:p>
        </w:tc>
        <w:tc>
          <w:tcPr>
            <w:tcW w:w="1557" w:type="dxa"/>
            <w:tcBorders>
              <w:top w:val="nil"/>
              <w:left w:val="nil"/>
              <w:bottom w:val="single" w:sz="4" w:space="0" w:color="7E8083"/>
              <w:right w:val="nil"/>
            </w:tcBorders>
            <w:shd w:val="clear" w:color="auto" w:fill="auto"/>
            <w:vAlign w:val="bottom"/>
            <w:hideMark/>
          </w:tcPr>
          <w:p w14:paraId="761379B8"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224 985</w:t>
            </w:r>
          </w:p>
        </w:tc>
      </w:tr>
      <w:tr w:rsidR="00B00ACA" w:rsidRPr="0022349C" w14:paraId="326EE51B" w14:textId="77777777" w:rsidTr="00C21F49">
        <w:trPr>
          <w:trHeight w:val="290"/>
        </w:trPr>
        <w:tc>
          <w:tcPr>
            <w:tcW w:w="5728" w:type="dxa"/>
            <w:tcBorders>
              <w:top w:val="nil"/>
              <w:left w:val="nil"/>
              <w:bottom w:val="nil"/>
              <w:right w:val="nil"/>
            </w:tcBorders>
            <w:shd w:val="clear" w:color="auto" w:fill="auto"/>
            <w:vAlign w:val="center"/>
            <w:hideMark/>
          </w:tcPr>
          <w:p w14:paraId="5B17A7DC"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Emprunts et concours bancaires courants</w:t>
            </w:r>
          </w:p>
        </w:tc>
        <w:tc>
          <w:tcPr>
            <w:tcW w:w="1646" w:type="dxa"/>
            <w:tcBorders>
              <w:top w:val="nil"/>
              <w:left w:val="nil"/>
              <w:bottom w:val="nil"/>
              <w:right w:val="nil"/>
            </w:tcBorders>
            <w:shd w:val="clear" w:color="000000" w:fill="D7E1E1"/>
            <w:vAlign w:val="bottom"/>
            <w:hideMark/>
          </w:tcPr>
          <w:p w14:paraId="358F9976"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47 777  </w:t>
            </w:r>
          </w:p>
        </w:tc>
        <w:tc>
          <w:tcPr>
            <w:tcW w:w="1557" w:type="dxa"/>
            <w:tcBorders>
              <w:top w:val="nil"/>
              <w:left w:val="nil"/>
              <w:bottom w:val="nil"/>
              <w:right w:val="nil"/>
            </w:tcBorders>
            <w:shd w:val="clear" w:color="auto" w:fill="auto"/>
            <w:vAlign w:val="bottom"/>
            <w:hideMark/>
          </w:tcPr>
          <w:p w14:paraId="60FF04FA"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75 920  </w:t>
            </w:r>
          </w:p>
        </w:tc>
      </w:tr>
      <w:tr w:rsidR="00B00ACA" w:rsidRPr="0022349C" w14:paraId="558F2272" w14:textId="77777777" w:rsidTr="00C21F49">
        <w:trPr>
          <w:trHeight w:val="290"/>
        </w:trPr>
        <w:tc>
          <w:tcPr>
            <w:tcW w:w="5728" w:type="dxa"/>
            <w:tcBorders>
              <w:top w:val="single" w:sz="4" w:space="0" w:color="7E8083"/>
              <w:left w:val="nil"/>
              <w:bottom w:val="nil"/>
              <w:right w:val="nil"/>
            </w:tcBorders>
            <w:shd w:val="clear" w:color="auto" w:fill="auto"/>
            <w:vAlign w:val="center"/>
            <w:hideMark/>
          </w:tcPr>
          <w:p w14:paraId="63580111"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Obligations locatives </w:t>
            </w:r>
            <w:proofErr w:type="spellStart"/>
            <w:r w:rsidRPr="0022349C">
              <w:rPr>
                <w:rFonts w:ascii="Tahoma" w:eastAsia="Times New Roman" w:hAnsi="Tahoma" w:cs="Tahoma"/>
                <w:color w:val="231F20"/>
                <w:sz w:val="20"/>
                <w:szCs w:val="20"/>
                <w:lang w:eastAsia="fr-FR"/>
              </w:rPr>
              <w:t>courantes</w:t>
            </w:r>
            <w:proofErr w:type="spellEnd"/>
          </w:p>
        </w:tc>
        <w:tc>
          <w:tcPr>
            <w:tcW w:w="1646" w:type="dxa"/>
            <w:tcBorders>
              <w:top w:val="single" w:sz="4" w:space="0" w:color="7E8083"/>
              <w:left w:val="nil"/>
              <w:bottom w:val="nil"/>
              <w:right w:val="nil"/>
            </w:tcBorders>
            <w:shd w:val="clear" w:color="000000" w:fill="D7E1E1"/>
            <w:vAlign w:val="bottom"/>
            <w:hideMark/>
          </w:tcPr>
          <w:p w14:paraId="422DD539"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17 467  </w:t>
            </w:r>
          </w:p>
        </w:tc>
        <w:tc>
          <w:tcPr>
            <w:tcW w:w="1557" w:type="dxa"/>
            <w:tcBorders>
              <w:top w:val="single" w:sz="4" w:space="0" w:color="7E8083"/>
              <w:left w:val="nil"/>
              <w:bottom w:val="nil"/>
              <w:right w:val="nil"/>
            </w:tcBorders>
            <w:shd w:val="clear" w:color="auto" w:fill="auto"/>
            <w:vAlign w:val="bottom"/>
            <w:hideMark/>
          </w:tcPr>
          <w:p w14:paraId="7359C2B2"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16 361  </w:t>
            </w:r>
          </w:p>
        </w:tc>
      </w:tr>
      <w:tr w:rsidR="00B00ACA" w:rsidRPr="0022349C" w14:paraId="268A78EA" w14:textId="77777777" w:rsidTr="00C21F49">
        <w:trPr>
          <w:trHeight w:val="290"/>
        </w:trPr>
        <w:tc>
          <w:tcPr>
            <w:tcW w:w="5728" w:type="dxa"/>
            <w:tcBorders>
              <w:top w:val="single" w:sz="4" w:space="0" w:color="7E8083"/>
              <w:left w:val="nil"/>
              <w:bottom w:val="single" w:sz="4" w:space="0" w:color="7E8083"/>
              <w:right w:val="nil"/>
            </w:tcBorders>
            <w:shd w:val="clear" w:color="auto" w:fill="auto"/>
            <w:vAlign w:val="center"/>
            <w:hideMark/>
          </w:tcPr>
          <w:p w14:paraId="6F294BF3" w14:textId="77777777" w:rsidR="00B00ACA" w:rsidRPr="0022349C" w:rsidRDefault="00B00ACA" w:rsidP="00C21F49">
            <w:pPr>
              <w:spacing w:after="0" w:line="240" w:lineRule="auto"/>
              <w:ind w:firstLineChars="100" w:firstLine="200"/>
              <w:rPr>
                <w:rFonts w:ascii="Tahoma" w:eastAsia="Times New Roman" w:hAnsi="Tahoma" w:cs="Tahoma"/>
                <w:sz w:val="20"/>
                <w:szCs w:val="20"/>
                <w:lang w:eastAsia="fr-FR"/>
              </w:rPr>
            </w:pPr>
            <w:r w:rsidRPr="0022349C">
              <w:rPr>
                <w:rFonts w:ascii="Tahoma" w:eastAsia="Times New Roman" w:hAnsi="Tahoma" w:cs="Tahoma"/>
                <w:sz w:val="20"/>
                <w:szCs w:val="20"/>
                <w:lang w:eastAsia="fr-FR"/>
              </w:rPr>
              <w:t xml:space="preserve">Provisions </w:t>
            </w:r>
            <w:proofErr w:type="spellStart"/>
            <w:r w:rsidRPr="0022349C">
              <w:rPr>
                <w:rFonts w:ascii="Tahoma" w:eastAsia="Times New Roman" w:hAnsi="Tahoma" w:cs="Tahoma"/>
                <w:sz w:val="20"/>
                <w:szCs w:val="20"/>
                <w:lang w:eastAsia="fr-FR"/>
              </w:rPr>
              <w:t>courantes</w:t>
            </w:r>
            <w:proofErr w:type="spellEnd"/>
          </w:p>
        </w:tc>
        <w:tc>
          <w:tcPr>
            <w:tcW w:w="1646" w:type="dxa"/>
            <w:tcBorders>
              <w:top w:val="single" w:sz="4" w:space="0" w:color="7E8083"/>
              <w:left w:val="nil"/>
              <w:bottom w:val="single" w:sz="4" w:space="0" w:color="7E8083"/>
              <w:right w:val="nil"/>
            </w:tcBorders>
            <w:shd w:val="clear" w:color="000000" w:fill="D7E1E1"/>
            <w:vAlign w:val="bottom"/>
            <w:hideMark/>
          </w:tcPr>
          <w:p w14:paraId="1E538FA2"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3 276  </w:t>
            </w:r>
          </w:p>
        </w:tc>
        <w:tc>
          <w:tcPr>
            <w:tcW w:w="1557" w:type="dxa"/>
            <w:tcBorders>
              <w:top w:val="single" w:sz="4" w:space="0" w:color="7E8083"/>
              <w:left w:val="nil"/>
              <w:bottom w:val="single" w:sz="4" w:space="0" w:color="7E8083"/>
              <w:right w:val="nil"/>
            </w:tcBorders>
            <w:shd w:val="clear" w:color="auto" w:fill="auto"/>
            <w:vAlign w:val="bottom"/>
            <w:hideMark/>
          </w:tcPr>
          <w:p w14:paraId="06B9F220"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3 290  </w:t>
            </w:r>
          </w:p>
        </w:tc>
      </w:tr>
      <w:tr w:rsidR="00B00ACA" w:rsidRPr="0022349C" w14:paraId="5E6F15C8" w14:textId="77777777" w:rsidTr="00C21F49">
        <w:trPr>
          <w:trHeight w:val="290"/>
        </w:trPr>
        <w:tc>
          <w:tcPr>
            <w:tcW w:w="5728" w:type="dxa"/>
            <w:tcBorders>
              <w:top w:val="nil"/>
              <w:left w:val="nil"/>
              <w:bottom w:val="nil"/>
              <w:right w:val="nil"/>
            </w:tcBorders>
            <w:shd w:val="clear" w:color="auto" w:fill="auto"/>
            <w:vAlign w:val="center"/>
            <w:hideMark/>
          </w:tcPr>
          <w:p w14:paraId="294D60D5"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Fournisseurs</w:t>
            </w:r>
            <w:proofErr w:type="spellEnd"/>
            <w:r w:rsidRPr="0022349C">
              <w:rPr>
                <w:rFonts w:ascii="Tahoma" w:eastAsia="Times New Roman" w:hAnsi="Tahoma" w:cs="Tahoma"/>
                <w:color w:val="231F20"/>
                <w:sz w:val="20"/>
                <w:szCs w:val="20"/>
                <w:lang w:eastAsia="fr-FR"/>
              </w:rPr>
              <w:t xml:space="preserve"> et </w:t>
            </w:r>
            <w:proofErr w:type="spellStart"/>
            <w:r w:rsidRPr="0022349C">
              <w:rPr>
                <w:rFonts w:ascii="Tahoma" w:eastAsia="Times New Roman" w:hAnsi="Tahoma" w:cs="Tahoma"/>
                <w:color w:val="231F20"/>
                <w:sz w:val="20"/>
                <w:szCs w:val="20"/>
                <w:lang w:eastAsia="fr-FR"/>
              </w:rPr>
              <w:t>comptes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rattachés</w:t>
            </w:r>
            <w:proofErr w:type="spellEnd"/>
          </w:p>
        </w:tc>
        <w:tc>
          <w:tcPr>
            <w:tcW w:w="1646" w:type="dxa"/>
            <w:tcBorders>
              <w:top w:val="nil"/>
              <w:left w:val="nil"/>
              <w:bottom w:val="nil"/>
              <w:right w:val="nil"/>
            </w:tcBorders>
            <w:shd w:val="clear" w:color="000000" w:fill="D7E1E1"/>
            <w:vAlign w:val="bottom"/>
            <w:hideMark/>
          </w:tcPr>
          <w:p w14:paraId="18888B38"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73 042  </w:t>
            </w:r>
          </w:p>
        </w:tc>
        <w:tc>
          <w:tcPr>
            <w:tcW w:w="1557" w:type="dxa"/>
            <w:tcBorders>
              <w:top w:val="nil"/>
              <w:left w:val="nil"/>
              <w:bottom w:val="nil"/>
              <w:right w:val="nil"/>
            </w:tcBorders>
            <w:shd w:val="clear" w:color="auto" w:fill="auto"/>
            <w:vAlign w:val="bottom"/>
            <w:hideMark/>
          </w:tcPr>
          <w:p w14:paraId="4951B3E4"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73 059  </w:t>
            </w:r>
          </w:p>
        </w:tc>
      </w:tr>
      <w:tr w:rsidR="00B00ACA" w:rsidRPr="0022349C" w14:paraId="3860351E" w14:textId="77777777" w:rsidTr="00C21F49">
        <w:trPr>
          <w:trHeight w:val="290"/>
        </w:trPr>
        <w:tc>
          <w:tcPr>
            <w:tcW w:w="5728" w:type="dxa"/>
            <w:tcBorders>
              <w:top w:val="nil"/>
              <w:left w:val="nil"/>
              <w:bottom w:val="nil"/>
              <w:right w:val="nil"/>
            </w:tcBorders>
            <w:shd w:val="clear" w:color="auto" w:fill="auto"/>
            <w:vAlign w:val="center"/>
            <w:hideMark/>
          </w:tcPr>
          <w:p w14:paraId="66A37F55"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Autres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passifs</w:t>
            </w:r>
            <w:proofErr w:type="spellEnd"/>
            <w:r w:rsidRPr="0022349C">
              <w:rPr>
                <w:rFonts w:ascii="Tahoma" w:eastAsia="Times New Roman" w:hAnsi="Tahoma" w:cs="Tahoma"/>
                <w:color w:val="231F20"/>
                <w:sz w:val="20"/>
                <w:szCs w:val="20"/>
                <w:lang w:eastAsia="fr-FR"/>
              </w:rPr>
              <w:t xml:space="preserve"> courants</w:t>
            </w:r>
          </w:p>
        </w:tc>
        <w:tc>
          <w:tcPr>
            <w:tcW w:w="1646" w:type="dxa"/>
            <w:tcBorders>
              <w:top w:val="nil"/>
              <w:left w:val="nil"/>
              <w:bottom w:val="nil"/>
              <w:right w:val="nil"/>
            </w:tcBorders>
            <w:shd w:val="clear" w:color="000000" w:fill="D7E1E1"/>
            <w:vAlign w:val="bottom"/>
            <w:hideMark/>
          </w:tcPr>
          <w:p w14:paraId="2958CC60"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56 508  </w:t>
            </w:r>
          </w:p>
        </w:tc>
        <w:tc>
          <w:tcPr>
            <w:tcW w:w="1557" w:type="dxa"/>
            <w:tcBorders>
              <w:top w:val="nil"/>
              <w:left w:val="nil"/>
              <w:bottom w:val="nil"/>
              <w:right w:val="nil"/>
            </w:tcBorders>
            <w:shd w:val="clear" w:color="auto" w:fill="auto"/>
            <w:vAlign w:val="bottom"/>
            <w:hideMark/>
          </w:tcPr>
          <w:p w14:paraId="4EA55950"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55 375  </w:t>
            </w:r>
          </w:p>
        </w:tc>
      </w:tr>
      <w:tr w:rsidR="00B00ACA" w:rsidRPr="0022349C" w14:paraId="202991AD" w14:textId="77777777" w:rsidTr="00C21F49">
        <w:trPr>
          <w:trHeight w:val="290"/>
        </w:trPr>
        <w:tc>
          <w:tcPr>
            <w:tcW w:w="5728" w:type="dxa"/>
            <w:tcBorders>
              <w:top w:val="nil"/>
              <w:left w:val="nil"/>
              <w:bottom w:val="nil"/>
              <w:right w:val="nil"/>
            </w:tcBorders>
            <w:shd w:val="clear" w:color="auto" w:fill="auto"/>
            <w:vAlign w:val="center"/>
            <w:hideMark/>
          </w:tcPr>
          <w:p w14:paraId="5DE29EAE"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Passifs destinés à être cédés</w:t>
            </w:r>
          </w:p>
        </w:tc>
        <w:tc>
          <w:tcPr>
            <w:tcW w:w="1646" w:type="dxa"/>
            <w:tcBorders>
              <w:top w:val="nil"/>
              <w:left w:val="nil"/>
              <w:bottom w:val="nil"/>
              <w:right w:val="nil"/>
            </w:tcBorders>
            <w:shd w:val="clear" w:color="000000" w:fill="D7E1E1"/>
            <w:vAlign w:val="bottom"/>
            <w:hideMark/>
          </w:tcPr>
          <w:p w14:paraId="59EE70CC"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0  </w:t>
            </w:r>
          </w:p>
        </w:tc>
        <w:tc>
          <w:tcPr>
            <w:tcW w:w="1557" w:type="dxa"/>
            <w:tcBorders>
              <w:top w:val="nil"/>
              <w:left w:val="nil"/>
              <w:bottom w:val="nil"/>
              <w:right w:val="nil"/>
            </w:tcBorders>
            <w:shd w:val="clear" w:color="auto" w:fill="auto"/>
            <w:vAlign w:val="bottom"/>
            <w:hideMark/>
          </w:tcPr>
          <w:p w14:paraId="2B6A180E"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980  </w:t>
            </w:r>
          </w:p>
        </w:tc>
      </w:tr>
      <w:tr w:rsidR="00B00ACA" w:rsidRPr="0022349C" w14:paraId="7882B1D5" w14:textId="77777777" w:rsidTr="00C21F49">
        <w:trPr>
          <w:trHeight w:val="290"/>
        </w:trPr>
        <w:tc>
          <w:tcPr>
            <w:tcW w:w="5728" w:type="dxa"/>
            <w:tcBorders>
              <w:top w:val="single" w:sz="4" w:space="0" w:color="7E8083"/>
              <w:left w:val="nil"/>
              <w:bottom w:val="single" w:sz="4" w:space="0" w:color="7E8083"/>
              <w:right w:val="nil"/>
            </w:tcBorders>
            <w:shd w:val="clear" w:color="auto" w:fill="auto"/>
            <w:vAlign w:val="center"/>
            <w:hideMark/>
          </w:tcPr>
          <w:p w14:paraId="75C66359" w14:textId="77777777" w:rsidR="00B00ACA" w:rsidRPr="00B00ACA" w:rsidRDefault="00B00ACA" w:rsidP="00C21F49">
            <w:pPr>
              <w:spacing w:after="0" w:line="240" w:lineRule="auto"/>
              <w:ind w:firstLineChars="100" w:firstLine="201"/>
              <w:rPr>
                <w:rFonts w:ascii="Tahoma" w:eastAsia="Times New Roman" w:hAnsi="Tahoma" w:cs="Tahoma"/>
                <w:b/>
                <w:bCs/>
                <w:color w:val="7A0000"/>
                <w:sz w:val="20"/>
                <w:szCs w:val="20"/>
                <w:lang w:val="fr-FR" w:eastAsia="fr-FR"/>
              </w:rPr>
            </w:pPr>
            <w:r w:rsidRPr="00B00ACA">
              <w:rPr>
                <w:rFonts w:ascii="Tahoma" w:eastAsia="Times New Roman" w:hAnsi="Tahoma" w:cs="Tahoma"/>
                <w:b/>
                <w:bCs/>
                <w:color w:val="7A0000"/>
                <w:sz w:val="20"/>
                <w:szCs w:val="20"/>
                <w:lang w:val="fr-FR" w:eastAsia="fr-FR"/>
              </w:rPr>
              <w:t>TOTAL DES CAPITAUX PROPRES ET DES PASSIFS</w:t>
            </w:r>
          </w:p>
        </w:tc>
        <w:tc>
          <w:tcPr>
            <w:tcW w:w="1646" w:type="dxa"/>
            <w:tcBorders>
              <w:top w:val="single" w:sz="4" w:space="0" w:color="7E8083"/>
              <w:left w:val="nil"/>
              <w:bottom w:val="single" w:sz="4" w:space="0" w:color="7E8083"/>
              <w:right w:val="nil"/>
            </w:tcBorders>
            <w:shd w:val="clear" w:color="000000" w:fill="D7E1E1"/>
            <w:vAlign w:val="bottom"/>
            <w:hideMark/>
          </w:tcPr>
          <w:p w14:paraId="56DE54CD" w14:textId="77777777" w:rsidR="00B00ACA" w:rsidRPr="0022349C" w:rsidRDefault="00B00ACA" w:rsidP="00C21F49">
            <w:pPr>
              <w:spacing w:after="0" w:line="240" w:lineRule="auto"/>
              <w:ind w:firstLineChars="100" w:firstLine="201"/>
              <w:jc w:val="right"/>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 xml:space="preserve">659 363  </w:t>
            </w:r>
          </w:p>
        </w:tc>
        <w:tc>
          <w:tcPr>
            <w:tcW w:w="1557" w:type="dxa"/>
            <w:tcBorders>
              <w:top w:val="single" w:sz="4" w:space="0" w:color="7E8083"/>
              <w:left w:val="nil"/>
              <w:bottom w:val="single" w:sz="4" w:space="0" w:color="7E8083"/>
              <w:right w:val="nil"/>
            </w:tcBorders>
            <w:shd w:val="clear" w:color="auto" w:fill="auto"/>
            <w:vAlign w:val="bottom"/>
            <w:hideMark/>
          </w:tcPr>
          <w:p w14:paraId="2A6825E6" w14:textId="77777777" w:rsidR="00B00ACA" w:rsidRPr="0022349C" w:rsidRDefault="00B00ACA" w:rsidP="00C21F49">
            <w:pPr>
              <w:spacing w:after="0" w:line="240" w:lineRule="auto"/>
              <w:ind w:firstLineChars="100" w:firstLine="201"/>
              <w:jc w:val="right"/>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 xml:space="preserve">657 080  </w:t>
            </w:r>
          </w:p>
        </w:tc>
      </w:tr>
    </w:tbl>
    <w:p w14:paraId="4FD2F777" w14:textId="6E05DD83" w:rsidR="003E1D10" w:rsidRDefault="003E1D10" w:rsidP="003E1D10">
      <w:pPr>
        <w:pStyle w:val="Titre1"/>
        <w:keepLines w:val="0"/>
        <w:spacing w:before="0" w:line="240" w:lineRule="auto"/>
        <w:jc w:val="left"/>
        <w:rPr>
          <w:rFonts w:ascii="Calibri" w:hAnsi="Calibri"/>
          <w:b/>
          <w:color w:val="auto"/>
          <w:sz w:val="24"/>
          <w:lang w:eastAsia="fr-FR"/>
        </w:rPr>
      </w:pPr>
      <w:r w:rsidRPr="00DB61C2">
        <w:rPr>
          <w:rFonts w:ascii="Calibri" w:hAnsi="Calibri"/>
          <w:b/>
          <w:color w:val="auto"/>
          <w:sz w:val="24"/>
          <w:lang w:eastAsia="fr-FR"/>
        </w:rPr>
        <w:lastRenderedPageBreak/>
        <w:t>P&amp;L statement</w:t>
      </w:r>
    </w:p>
    <w:tbl>
      <w:tblPr>
        <w:tblW w:w="8931" w:type="dxa"/>
        <w:tblCellMar>
          <w:left w:w="70" w:type="dxa"/>
          <w:right w:w="70" w:type="dxa"/>
        </w:tblCellMar>
        <w:tblLook w:val="04A0" w:firstRow="1" w:lastRow="0" w:firstColumn="1" w:lastColumn="0" w:noHBand="0" w:noVBand="1"/>
      </w:tblPr>
      <w:tblGrid>
        <w:gridCol w:w="5387"/>
        <w:gridCol w:w="1843"/>
        <w:gridCol w:w="1701"/>
      </w:tblGrid>
      <w:tr w:rsidR="00B00ACA" w:rsidRPr="0022349C" w14:paraId="5DBAA198" w14:textId="77777777" w:rsidTr="00C21F49">
        <w:trPr>
          <w:trHeight w:val="500"/>
        </w:trPr>
        <w:tc>
          <w:tcPr>
            <w:tcW w:w="5387" w:type="dxa"/>
            <w:tcBorders>
              <w:top w:val="nil"/>
              <w:left w:val="nil"/>
              <w:bottom w:val="single" w:sz="4" w:space="0" w:color="7E8083"/>
              <w:right w:val="nil"/>
            </w:tcBorders>
            <w:shd w:val="clear" w:color="auto" w:fill="auto"/>
            <w:vAlign w:val="center"/>
            <w:hideMark/>
          </w:tcPr>
          <w:p w14:paraId="183AEDC9" w14:textId="77777777" w:rsidR="00B00ACA" w:rsidRPr="0022349C" w:rsidRDefault="00B00ACA" w:rsidP="00C21F49">
            <w:pPr>
              <w:spacing w:after="0" w:line="240" w:lineRule="auto"/>
              <w:ind w:firstLineChars="100" w:firstLine="200"/>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 xml:space="preserve">En </w:t>
            </w:r>
            <w:proofErr w:type="spellStart"/>
            <w:r w:rsidRPr="0022349C">
              <w:rPr>
                <w:rFonts w:ascii="Tahoma" w:eastAsia="Times New Roman" w:hAnsi="Tahoma" w:cs="Tahoma"/>
                <w:color w:val="7A0000"/>
                <w:sz w:val="20"/>
                <w:szCs w:val="20"/>
                <w:lang w:eastAsia="fr-FR"/>
              </w:rPr>
              <w:t>milliers</w:t>
            </w:r>
            <w:proofErr w:type="spellEnd"/>
            <w:r w:rsidRPr="0022349C">
              <w:rPr>
                <w:rFonts w:ascii="Tahoma" w:eastAsia="Times New Roman" w:hAnsi="Tahoma" w:cs="Tahoma"/>
                <w:color w:val="7A0000"/>
                <w:sz w:val="20"/>
                <w:szCs w:val="20"/>
                <w:lang w:eastAsia="fr-FR"/>
              </w:rPr>
              <w:t xml:space="preserve"> </w:t>
            </w:r>
            <w:proofErr w:type="spellStart"/>
            <w:r w:rsidRPr="0022349C">
              <w:rPr>
                <w:rFonts w:ascii="Tahoma" w:eastAsia="Times New Roman" w:hAnsi="Tahoma" w:cs="Tahoma"/>
                <w:color w:val="7A0000"/>
                <w:sz w:val="20"/>
                <w:szCs w:val="20"/>
                <w:lang w:eastAsia="fr-FR"/>
              </w:rPr>
              <w:t>d’euros</w:t>
            </w:r>
            <w:proofErr w:type="spellEnd"/>
          </w:p>
        </w:tc>
        <w:tc>
          <w:tcPr>
            <w:tcW w:w="1843" w:type="dxa"/>
            <w:tcBorders>
              <w:top w:val="single" w:sz="4" w:space="0" w:color="7E8083"/>
              <w:left w:val="nil"/>
              <w:bottom w:val="single" w:sz="4" w:space="0" w:color="7E8083"/>
              <w:right w:val="nil"/>
            </w:tcBorders>
            <w:shd w:val="clear" w:color="000000" w:fill="D7E1E1"/>
            <w:vAlign w:val="center"/>
            <w:hideMark/>
          </w:tcPr>
          <w:p w14:paraId="42F5E90A" w14:textId="77777777" w:rsidR="00B00ACA" w:rsidRDefault="00B00ACA" w:rsidP="00C21F49">
            <w:pPr>
              <w:spacing w:after="0" w:line="240" w:lineRule="auto"/>
              <w:jc w:val="center"/>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 xml:space="preserve">Au 31 </w:t>
            </w:r>
          </w:p>
          <w:p w14:paraId="27C0F9E2" w14:textId="5B400B14" w:rsidR="00B00ACA" w:rsidRPr="0022349C" w:rsidRDefault="00B00ACA" w:rsidP="00C21F49">
            <w:pPr>
              <w:spacing w:after="0" w:line="240" w:lineRule="auto"/>
              <w:jc w:val="center"/>
              <w:rPr>
                <w:rFonts w:ascii="Tahoma" w:eastAsia="Times New Roman" w:hAnsi="Tahoma" w:cs="Tahoma"/>
                <w:b/>
                <w:bCs/>
                <w:color w:val="7A0000"/>
                <w:sz w:val="20"/>
                <w:szCs w:val="20"/>
                <w:lang w:eastAsia="fr-FR"/>
              </w:rPr>
            </w:pPr>
            <w:proofErr w:type="spellStart"/>
            <w:r w:rsidRPr="0022349C">
              <w:rPr>
                <w:rFonts w:ascii="Tahoma" w:eastAsia="Times New Roman" w:hAnsi="Tahoma" w:cs="Tahoma"/>
                <w:b/>
                <w:bCs/>
                <w:color w:val="7A0000"/>
                <w:sz w:val="20"/>
                <w:szCs w:val="20"/>
                <w:lang w:eastAsia="fr-FR"/>
              </w:rPr>
              <w:t>décembre</w:t>
            </w:r>
            <w:proofErr w:type="spellEnd"/>
            <w:r w:rsidRPr="0022349C">
              <w:rPr>
                <w:rFonts w:ascii="Tahoma" w:eastAsia="Times New Roman" w:hAnsi="Tahoma" w:cs="Tahoma"/>
                <w:b/>
                <w:bCs/>
                <w:color w:val="7A0000"/>
                <w:sz w:val="20"/>
                <w:szCs w:val="20"/>
                <w:lang w:eastAsia="fr-FR"/>
              </w:rPr>
              <w:t xml:space="preserve"> 2023</w:t>
            </w:r>
          </w:p>
        </w:tc>
        <w:tc>
          <w:tcPr>
            <w:tcW w:w="1701" w:type="dxa"/>
            <w:tcBorders>
              <w:top w:val="single" w:sz="4" w:space="0" w:color="7E8083"/>
              <w:left w:val="nil"/>
              <w:bottom w:val="single" w:sz="4" w:space="0" w:color="7E8083"/>
              <w:right w:val="nil"/>
            </w:tcBorders>
            <w:shd w:val="clear" w:color="auto" w:fill="auto"/>
            <w:vAlign w:val="center"/>
            <w:hideMark/>
          </w:tcPr>
          <w:p w14:paraId="313F1FFB" w14:textId="77777777" w:rsidR="00B00ACA" w:rsidRPr="0022349C" w:rsidRDefault="00B00ACA" w:rsidP="00C21F49">
            <w:pPr>
              <w:spacing w:after="0" w:line="240" w:lineRule="auto"/>
              <w:jc w:val="center"/>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 xml:space="preserve">Au 31 </w:t>
            </w:r>
            <w:proofErr w:type="spellStart"/>
            <w:r w:rsidRPr="0022349C">
              <w:rPr>
                <w:rFonts w:ascii="Tahoma" w:eastAsia="Times New Roman" w:hAnsi="Tahoma" w:cs="Tahoma"/>
                <w:b/>
                <w:bCs/>
                <w:color w:val="7A0000"/>
                <w:sz w:val="20"/>
                <w:szCs w:val="20"/>
                <w:lang w:eastAsia="fr-FR"/>
              </w:rPr>
              <w:t>décembre</w:t>
            </w:r>
            <w:proofErr w:type="spellEnd"/>
            <w:r w:rsidRPr="0022349C">
              <w:rPr>
                <w:rFonts w:ascii="Tahoma" w:eastAsia="Times New Roman" w:hAnsi="Tahoma" w:cs="Tahoma"/>
                <w:b/>
                <w:bCs/>
                <w:color w:val="7A0000"/>
                <w:sz w:val="20"/>
                <w:szCs w:val="20"/>
                <w:lang w:eastAsia="fr-FR"/>
              </w:rPr>
              <w:t xml:space="preserve"> 2022</w:t>
            </w:r>
          </w:p>
        </w:tc>
      </w:tr>
      <w:tr w:rsidR="00B00ACA" w:rsidRPr="0022349C" w14:paraId="298C554E" w14:textId="77777777" w:rsidTr="00C21F49">
        <w:trPr>
          <w:trHeight w:val="290"/>
        </w:trPr>
        <w:tc>
          <w:tcPr>
            <w:tcW w:w="5387" w:type="dxa"/>
            <w:tcBorders>
              <w:top w:val="nil"/>
              <w:left w:val="nil"/>
              <w:bottom w:val="nil"/>
              <w:right w:val="nil"/>
            </w:tcBorders>
            <w:shd w:val="clear" w:color="auto" w:fill="auto"/>
            <w:vAlign w:val="center"/>
            <w:hideMark/>
          </w:tcPr>
          <w:p w14:paraId="5BD63403"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Chiffre d’affaires</w:t>
            </w:r>
          </w:p>
        </w:tc>
        <w:tc>
          <w:tcPr>
            <w:tcW w:w="1843" w:type="dxa"/>
            <w:tcBorders>
              <w:top w:val="nil"/>
              <w:left w:val="nil"/>
              <w:bottom w:val="nil"/>
              <w:right w:val="nil"/>
            </w:tcBorders>
            <w:shd w:val="clear" w:color="000000" w:fill="D7E1E1"/>
            <w:vAlign w:val="bottom"/>
            <w:hideMark/>
          </w:tcPr>
          <w:p w14:paraId="4396313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265 024</w:t>
            </w:r>
          </w:p>
        </w:tc>
        <w:tc>
          <w:tcPr>
            <w:tcW w:w="1701" w:type="dxa"/>
            <w:tcBorders>
              <w:top w:val="nil"/>
              <w:left w:val="nil"/>
              <w:bottom w:val="nil"/>
              <w:right w:val="nil"/>
            </w:tcBorders>
            <w:shd w:val="clear" w:color="auto" w:fill="auto"/>
            <w:vAlign w:val="bottom"/>
            <w:hideMark/>
          </w:tcPr>
          <w:p w14:paraId="73EB6B9D"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249 734</w:t>
            </w:r>
          </w:p>
        </w:tc>
      </w:tr>
      <w:tr w:rsidR="00B00ACA" w:rsidRPr="0022349C" w14:paraId="5084804F" w14:textId="77777777" w:rsidTr="00C21F49">
        <w:trPr>
          <w:trHeight w:val="290"/>
        </w:trPr>
        <w:tc>
          <w:tcPr>
            <w:tcW w:w="5387" w:type="dxa"/>
            <w:tcBorders>
              <w:top w:val="nil"/>
              <w:left w:val="nil"/>
              <w:bottom w:val="nil"/>
              <w:right w:val="nil"/>
            </w:tcBorders>
            <w:shd w:val="clear" w:color="auto" w:fill="auto"/>
            <w:vAlign w:val="center"/>
            <w:hideMark/>
          </w:tcPr>
          <w:p w14:paraId="07B16123"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Achats</w:t>
            </w:r>
            <w:proofErr w:type="spellEnd"/>
            <w:r w:rsidRPr="0022349C">
              <w:rPr>
                <w:rFonts w:ascii="Tahoma" w:eastAsia="Times New Roman" w:hAnsi="Tahoma" w:cs="Tahoma"/>
                <w:color w:val="231F20"/>
                <w:sz w:val="20"/>
                <w:szCs w:val="20"/>
                <w:lang w:eastAsia="fr-FR"/>
              </w:rPr>
              <w:t xml:space="preserve"> consommés</w:t>
            </w:r>
          </w:p>
        </w:tc>
        <w:tc>
          <w:tcPr>
            <w:tcW w:w="1843" w:type="dxa"/>
            <w:tcBorders>
              <w:top w:val="nil"/>
              <w:left w:val="nil"/>
              <w:bottom w:val="nil"/>
              <w:right w:val="nil"/>
            </w:tcBorders>
            <w:shd w:val="clear" w:color="000000" w:fill="D7E1E1"/>
            <w:vAlign w:val="bottom"/>
            <w:hideMark/>
          </w:tcPr>
          <w:p w14:paraId="3AE8405A"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-87 027</w:t>
            </w:r>
          </w:p>
        </w:tc>
        <w:tc>
          <w:tcPr>
            <w:tcW w:w="1701" w:type="dxa"/>
            <w:tcBorders>
              <w:top w:val="nil"/>
              <w:left w:val="nil"/>
              <w:bottom w:val="nil"/>
              <w:right w:val="nil"/>
            </w:tcBorders>
            <w:shd w:val="clear" w:color="auto" w:fill="auto"/>
            <w:vAlign w:val="bottom"/>
            <w:hideMark/>
          </w:tcPr>
          <w:p w14:paraId="7AF97ED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-84 703</w:t>
            </w:r>
          </w:p>
        </w:tc>
      </w:tr>
      <w:tr w:rsidR="00B00ACA" w:rsidRPr="0022349C" w14:paraId="4374F7CF" w14:textId="77777777" w:rsidTr="00C21F49">
        <w:trPr>
          <w:trHeight w:val="290"/>
        </w:trPr>
        <w:tc>
          <w:tcPr>
            <w:tcW w:w="5387" w:type="dxa"/>
            <w:tcBorders>
              <w:top w:val="nil"/>
              <w:left w:val="nil"/>
              <w:bottom w:val="nil"/>
              <w:right w:val="nil"/>
            </w:tcBorders>
            <w:shd w:val="clear" w:color="auto" w:fill="auto"/>
            <w:vAlign w:val="center"/>
            <w:hideMark/>
          </w:tcPr>
          <w:p w14:paraId="063B2E25"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Charges externes</w:t>
            </w:r>
          </w:p>
        </w:tc>
        <w:tc>
          <w:tcPr>
            <w:tcW w:w="1843" w:type="dxa"/>
            <w:tcBorders>
              <w:top w:val="nil"/>
              <w:left w:val="nil"/>
              <w:bottom w:val="nil"/>
              <w:right w:val="nil"/>
            </w:tcBorders>
            <w:shd w:val="clear" w:color="000000" w:fill="D7E1E1"/>
            <w:vAlign w:val="bottom"/>
            <w:hideMark/>
          </w:tcPr>
          <w:p w14:paraId="2765F3F2"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-43 320</w:t>
            </w:r>
          </w:p>
        </w:tc>
        <w:tc>
          <w:tcPr>
            <w:tcW w:w="1701" w:type="dxa"/>
            <w:tcBorders>
              <w:top w:val="nil"/>
              <w:left w:val="nil"/>
              <w:bottom w:val="nil"/>
              <w:right w:val="nil"/>
            </w:tcBorders>
            <w:shd w:val="clear" w:color="auto" w:fill="auto"/>
            <w:vAlign w:val="bottom"/>
            <w:hideMark/>
          </w:tcPr>
          <w:p w14:paraId="0D4C4EBA"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-41 644</w:t>
            </w:r>
          </w:p>
        </w:tc>
      </w:tr>
      <w:tr w:rsidR="00B00ACA" w:rsidRPr="0022349C" w14:paraId="1DD5E0EE" w14:textId="77777777" w:rsidTr="00C21F49">
        <w:trPr>
          <w:trHeight w:val="290"/>
        </w:trPr>
        <w:tc>
          <w:tcPr>
            <w:tcW w:w="5387" w:type="dxa"/>
            <w:tcBorders>
              <w:top w:val="nil"/>
              <w:left w:val="nil"/>
              <w:bottom w:val="nil"/>
              <w:right w:val="nil"/>
            </w:tcBorders>
            <w:shd w:val="clear" w:color="auto" w:fill="auto"/>
            <w:vAlign w:val="center"/>
            <w:hideMark/>
          </w:tcPr>
          <w:p w14:paraId="7953898D"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Charges de personnel</w:t>
            </w:r>
          </w:p>
        </w:tc>
        <w:tc>
          <w:tcPr>
            <w:tcW w:w="1843" w:type="dxa"/>
            <w:tcBorders>
              <w:top w:val="nil"/>
              <w:left w:val="nil"/>
              <w:bottom w:val="nil"/>
              <w:right w:val="nil"/>
            </w:tcBorders>
            <w:shd w:val="clear" w:color="000000" w:fill="D7E1E1"/>
            <w:vAlign w:val="bottom"/>
            <w:hideMark/>
          </w:tcPr>
          <w:p w14:paraId="14D0DFC2"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-80 374</w:t>
            </w:r>
          </w:p>
        </w:tc>
        <w:tc>
          <w:tcPr>
            <w:tcW w:w="1701" w:type="dxa"/>
            <w:tcBorders>
              <w:top w:val="nil"/>
              <w:left w:val="nil"/>
              <w:bottom w:val="nil"/>
              <w:right w:val="nil"/>
            </w:tcBorders>
            <w:shd w:val="clear" w:color="auto" w:fill="auto"/>
            <w:vAlign w:val="bottom"/>
            <w:hideMark/>
          </w:tcPr>
          <w:p w14:paraId="2C24E0EE"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-71 930</w:t>
            </w:r>
          </w:p>
        </w:tc>
      </w:tr>
      <w:tr w:rsidR="00B00ACA" w:rsidRPr="0022349C" w14:paraId="48A8D0F5" w14:textId="77777777" w:rsidTr="00C21F49">
        <w:trPr>
          <w:trHeight w:val="290"/>
        </w:trPr>
        <w:tc>
          <w:tcPr>
            <w:tcW w:w="5387" w:type="dxa"/>
            <w:tcBorders>
              <w:top w:val="nil"/>
              <w:left w:val="nil"/>
              <w:bottom w:val="nil"/>
              <w:right w:val="nil"/>
            </w:tcBorders>
            <w:shd w:val="clear" w:color="auto" w:fill="auto"/>
            <w:vAlign w:val="center"/>
            <w:hideMark/>
          </w:tcPr>
          <w:p w14:paraId="3122D577"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Impôts</w:t>
            </w:r>
            <w:proofErr w:type="spellEnd"/>
            <w:r w:rsidRPr="0022349C">
              <w:rPr>
                <w:rFonts w:ascii="Tahoma" w:eastAsia="Times New Roman" w:hAnsi="Tahoma" w:cs="Tahoma"/>
                <w:color w:val="231F20"/>
                <w:sz w:val="20"/>
                <w:szCs w:val="20"/>
                <w:lang w:eastAsia="fr-FR"/>
              </w:rPr>
              <w:t xml:space="preserve"> et taxes</w:t>
            </w:r>
          </w:p>
        </w:tc>
        <w:tc>
          <w:tcPr>
            <w:tcW w:w="1843" w:type="dxa"/>
            <w:tcBorders>
              <w:top w:val="nil"/>
              <w:left w:val="nil"/>
              <w:bottom w:val="nil"/>
              <w:right w:val="nil"/>
            </w:tcBorders>
            <w:shd w:val="clear" w:color="000000" w:fill="D7E1E1"/>
            <w:vAlign w:val="bottom"/>
            <w:hideMark/>
          </w:tcPr>
          <w:p w14:paraId="20640941"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-1 888</w:t>
            </w:r>
          </w:p>
        </w:tc>
        <w:tc>
          <w:tcPr>
            <w:tcW w:w="1701" w:type="dxa"/>
            <w:tcBorders>
              <w:top w:val="nil"/>
              <w:left w:val="nil"/>
              <w:bottom w:val="nil"/>
              <w:right w:val="nil"/>
            </w:tcBorders>
            <w:shd w:val="clear" w:color="auto" w:fill="auto"/>
            <w:vAlign w:val="bottom"/>
            <w:hideMark/>
          </w:tcPr>
          <w:p w14:paraId="38C3BFF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-1 890</w:t>
            </w:r>
          </w:p>
        </w:tc>
      </w:tr>
      <w:tr w:rsidR="00B00ACA" w:rsidRPr="0022349C" w14:paraId="13A0EBF3" w14:textId="77777777" w:rsidTr="00C21F49">
        <w:trPr>
          <w:trHeight w:val="290"/>
        </w:trPr>
        <w:tc>
          <w:tcPr>
            <w:tcW w:w="5387" w:type="dxa"/>
            <w:tcBorders>
              <w:top w:val="nil"/>
              <w:left w:val="nil"/>
              <w:bottom w:val="nil"/>
              <w:right w:val="nil"/>
            </w:tcBorders>
            <w:shd w:val="clear" w:color="auto" w:fill="auto"/>
            <w:vAlign w:val="center"/>
            <w:hideMark/>
          </w:tcPr>
          <w:p w14:paraId="0F651981"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Dotations</w:t>
            </w:r>
            <w:proofErr w:type="spellEnd"/>
            <w:r w:rsidRPr="0022349C">
              <w:rPr>
                <w:rFonts w:ascii="Tahoma" w:eastAsia="Times New Roman" w:hAnsi="Tahoma" w:cs="Tahoma"/>
                <w:color w:val="231F20"/>
                <w:sz w:val="20"/>
                <w:szCs w:val="20"/>
                <w:lang w:eastAsia="fr-FR"/>
              </w:rPr>
              <w:t xml:space="preserve"> aux </w:t>
            </w:r>
            <w:proofErr w:type="spellStart"/>
            <w:r w:rsidRPr="0022349C">
              <w:rPr>
                <w:rFonts w:ascii="Tahoma" w:eastAsia="Times New Roman" w:hAnsi="Tahoma" w:cs="Tahoma"/>
                <w:color w:val="231F20"/>
                <w:sz w:val="20"/>
                <w:szCs w:val="20"/>
                <w:lang w:eastAsia="fr-FR"/>
              </w:rPr>
              <w:t>amortissements</w:t>
            </w:r>
            <w:proofErr w:type="spellEnd"/>
          </w:p>
        </w:tc>
        <w:tc>
          <w:tcPr>
            <w:tcW w:w="1843" w:type="dxa"/>
            <w:tcBorders>
              <w:top w:val="nil"/>
              <w:left w:val="nil"/>
              <w:bottom w:val="nil"/>
              <w:right w:val="nil"/>
            </w:tcBorders>
            <w:shd w:val="clear" w:color="000000" w:fill="D7E1E1"/>
            <w:vAlign w:val="bottom"/>
            <w:hideMark/>
          </w:tcPr>
          <w:p w14:paraId="34901CD1"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-31 565</w:t>
            </w:r>
          </w:p>
        </w:tc>
        <w:tc>
          <w:tcPr>
            <w:tcW w:w="1701" w:type="dxa"/>
            <w:tcBorders>
              <w:top w:val="nil"/>
              <w:left w:val="nil"/>
              <w:bottom w:val="nil"/>
              <w:right w:val="nil"/>
            </w:tcBorders>
            <w:shd w:val="clear" w:color="auto" w:fill="auto"/>
            <w:vAlign w:val="bottom"/>
            <w:hideMark/>
          </w:tcPr>
          <w:p w14:paraId="17AE452F"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-29 718</w:t>
            </w:r>
          </w:p>
        </w:tc>
      </w:tr>
      <w:tr w:rsidR="00B00ACA" w:rsidRPr="0022349C" w14:paraId="2FE2B415" w14:textId="77777777" w:rsidTr="00C21F49">
        <w:trPr>
          <w:trHeight w:val="500"/>
        </w:trPr>
        <w:tc>
          <w:tcPr>
            <w:tcW w:w="5387" w:type="dxa"/>
            <w:tcBorders>
              <w:top w:val="nil"/>
              <w:left w:val="nil"/>
              <w:bottom w:val="nil"/>
              <w:right w:val="nil"/>
            </w:tcBorders>
            <w:shd w:val="clear" w:color="auto" w:fill="auto"/>
            <w:vAlign w:val="center"/>
            <w:hideMark/>
          </w:tcPr>
          <w:p w14:paraId="1F8894E2"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(Dotations) Reprises aux dépréciations d’actifs</w:t>
            </w:r>
          </w:p>
          <w:p w14:paraId="55C46024"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et aux provisions pour risques et charges</w:t>
            </w:r>
          </w:p>
        </w:tc>
        <w:tc>
          <w:tcPr>
            <w:tcW w:w="1843" w:type="dxa"/>
            <w:tcBorders>
              <w:top w:val="nil"/>
              <w:left w:val="nil"/>
              <w:bottom w:val="nil"/>
              <w:right w:val="nil"/>
            </w:tcBorders>
            <w:shd w:val="clear" w:color="000000" w:fill="D7E1E1"/>
            <w:vAlign w:val="center"/>
            <w:hideMark/>
          </w:tcPr>
          <w:p w14:paraId="69A92E3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-154</w:t>
            </w:r>
          </w:p>
        </w:tc>
        <w:tc>
          <w:tcPr>
            <w:tcW w:w="1701" w:type="dxa"/>
            <w:tcBorders>
              <w:top w:val="nil"/>
              <w:left w:val="nil"/>
              <w:bottom w:val="nil"/>
              <w:right w:val="nil"/>
            </w:tcBorders>
            <w:shd w:val="clear" w:color="auto" w:fill="auto"/>
            <w:vAlign w:val="center"/>
            <w:hideMark/>
          </w:tcPr>
          <w:p w14:paraId="1A5E54AA"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1 306</w:t>
            </w:r>
          </w:p>
        </w:tc>
      </w:tr>
      <w:tr w:rsidR="00B00ACA" w:rsidRPr="0022349C" w14:paraId="4F161CB4" w14:textId="77777777" w:rsidTr="00C21F49">
        <w:trPr>
          <w:trHeight w:val="290"/>
        </w:trPr>
        <w:tc>
          <w:tcPr>
            <w:tcW w:w="5387" w:type="dxa"/>
            <w:tcBorders>
              <w:top w:val="nil"/>
              <w:left w:val="nil"/>
              <w:bottom w:val="nil"/>
              <w:right w:val="nil"/>
            </w:tcBorders>
            <w:shd w:val="clear" w:color="auto" w:fill="auto"/>
            <w:vAlign w:val="center"/>
            <w:hideMark/>
          </w:tcPr>
          <w:p w14:paraId="2723578E"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Autres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produits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opérationnels</w:t>
            </w:r>
            <w:proofErr w:type="spellEnd"/>
            <w:r w:rsidRPr="0022349C">
              <w:rPr>
                <w:rFonts w:ascii="Tahoma" w:eastAsia="Times New Roman" w:hAnsi="Tahoma" w:cs="Tahoma"/>
                <w:color w:val="231F20"/>
                <w:sz w:val="20"/>
                <w:szCs w:val="20"/>
                <w:lang w:eastAsia="fr-FR"/>
              </w:rPr>
              <w:t xml:space="preserve"> courants</w:t>
            </w:r>
          </w:p>
        </w:tc>
        <w:tc>
          <w:tcPr>
            <w:tcW w:w="1843" w:type="dxa"/>
            <w:tcBorders>
              <w:top w:val="nil"/>
              <w:left w:val="nil"/>
              <w:bottom w:val="nil"/>
              <w:right w:val="nil"/>
            </w:tcBorders>
            <w:shd w:val="clear" w:color="000000" w:fill="D7E1E1"/>
            <w:vAlign w:val="bottom"/>
            <w:hideMark/>
          </w:tcPr>
          <w:p w14:paraId="11E2B8D5"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2 203</w:t>
            </w:r>
          </w:p>
        </w:tc>
        <w:tc>
          <w:tcPr>
            <w:tcW w:w="1701" w:type="dxa"/>
            <w:tcBorders>
              <w:top w:val="nil"/>
              <w:left w:val="nil"/>
              <w:bottom w:val="nil"/>
              <w:right w:val="nil"/>
            </w:tcBorders>
            <w:shd w:val="clear" w:color="auto" w:fill="auto"/>
            <w:vAlign w:val="bottom"/>
            <w:hideMark/>
          </w:tcPr>
          <w:p w14:paraId="41D9797A"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298</w:t>
            </w:r>
          </w:p>
        </w:tc>
      </w:tr>
      <w:tr w:rsidR="00B00ACA" w:rsidRPr="0022349C" w14:paraId="50CCF77A" w14:textId="77777777" w:rsidTr="00C21F49">
        <w:trPr>
          <w:trHeight w:val="290"/>
        </w:trPr>
        <w:tc>
          <w:tcPr>
            <w:tcW w:w="5387" w:type="dxa"/>
            <w:tcBorders>
              <w:top w:val="nil"/>
              <w:left w:val="nil"/>
              <w:bottom w:val="nil"/>
              <w:right w:val="nil"/>
            </w:tcBorders>
            <w:shd w:val="clear" w:color="auto" w:fill="auto"/>
            <w:vAlign w:val="center"/>
            <w:hideMark/>
          </w:tcPr>
          <w:p w14:paraId="1E580800"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Autres</w:t>
            </w:r>
            <w:proofErr w:type="spellEnd"/>
            <w:r w:rsidRPr="0022349C">
              <w:rPr>
                <w:rFonts w:ascii="Tahoma" w:eastAsia="Times New Roman" w:hAnsi="Tahoma" w:cs="Tahoma"/>
                <w:color w:val="231F20"/>
                <w:sz w:val="20"/>
                <w:szCs w:val="20"/>
                <w:lang w:eastAsia="fr-FR"/>
              </w:rPr>
              <w:t xml:space="preserve"> charges </w:t>
            </w:r>
            <w:proofErr w:type="spellStart"/>
            <w:r w:rsidRPr="0022349C">
              <w:rPr>
                <w:rFonts w:ascii="Tahoma" w:eastAsia="Times New Roman" w:hAnsi="Tahoma" w:cs="Tahoma"/>
                <w:color w:val="231F20"/>
                <w:sz w:val="20"/>
                <w:szCs w:val="20"/>
                <w:lang w:eastAsia="fr-FR"/>
              </w:rPr>
              <w:t>opérationnelles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courantes</w:t>
            </w:r>
            <w:proofErr w:type="spellEnd"/>
          </w:p>
        </w:tc>
        <w:tc>
          <w:tcPr>
            <w:tcW w:w="1843" w:type="dxa"/>
            <w:tcBorders>
              <w:top w:val="nil"/>
              <w:left w:val="nil"/>
              <w:bottom w:val="nil"/>
              <w:right w:val="nil"/>
            </w:tcBorders>
            <w:shd w:val="clear" w:color="000000" w:fill="D7E1E1"/>
            <w:vAlign w:val="bottom"/>
            <w:hideMark/>
          </w:tcPr>
          <w:p w14:paraId="32379CFA"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-1 002</w:t>
            </w:r>
          </w:p>
        </w:tc>
        <w:tc>
          <w:tcPr>
            <w:tcW w:w="1701" w:type="dxa"/>
            <w:tcBorders>
              <w:top w:val="nil"/>
              <w:left w:val="nil"/>
              <w:bottom w:val="nil"/>
              <w:right w:val="nil"/>
            </w:tcBorders>
            <w:shd w:val="clear" w:color="auto" w:fill="auto"/>
            <w:vAlign w:val="bottom"/>
            <w:hideMark/>
          </w:tcPr>
          <w:p w14:paraId="1A8DE669"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r>
      <w:tr w:rsidR="00B00ACA" w:rsidRPr="0022349C" w14:paraId="5D955A3F" w14:textId="77777777" w:rsidTr="00C21F49">
        <w:trPr>
          <w:trHeight w:val="290"/>
        </w:trPr>
        <w:tc>
          <w:tcPr>
            <w:tcW w:w="5387" w:type="dxa"/>
            <w:tcBorders>
              <w:top w:val="single" w:sz="4" w:space="0" w:color="7E8083"/>
              <w:left w:val="nil"/>
              <w:bottom w:val="single" w:sz="4" w:space="0" w:color="7E8083"/>
              <w:right w:val="nil"/>
            </w:tcBorders>
            <w:shd w:val="clear" w:color="auto" w:fill="auto"/>
            <w:vAlign w:val="center"/>
            <w:hideMark/>
          </w:tcPr>
          <w:p w14:paraId="623ED909" w14:textId="77777777" w:rsidR="00B00ACA" w:rsidRPr="0022349C" w:rsidRDefault="00B00ACA" w:rsidP="00C21F49">
            <w:pPr>
              <w:spacing w:after="0" w:line="240" w:lineRule="auto"/>
              <w:ind w:firstLineChars="100" w:firstLine="200"/>
              <w:rPr>
                <w:rFonts w:ascii="Tahoma" w:eastAsia="Times New Roman" w:hAnsi="Tahoma" w:cs="Tahoma"/>
                <w:color w:val="7A0000"/>
                <w:sz w:val="20"/>
                <w:szCs w:val="20"/>
                <w:lang w:eastAsia="fr-FR"/>
              </w:rPr>
            </w:pPr>
            <w:proofErr w:type="spellStart"/>
            <w:r w:rsidRPr="0022349C">
              <w:rPr>
                <w:rFonts w:ascii="Tahoma" w:eastAsia="Times New Roman" w:hAnsi="Tahoma" w:cs="Tahoma"/>
                <w:color w:val="7A0000"/>
                <w:sz w:val="20"/>
                <w:szCs w:val="20"/>
                <w:lang w:eastAsia="fr-FR"/>
              </w:rPr>
              <w:t>Résultat</w:t>
            </w:r>
            <w:proofErr w:type="spellEnd"/>
            <w:r w:rsidRPr="0022349C">
              <w:rPr>
                <w:rFonts w:ascii="Tahoma" w:eastAsia="Times New Roman" w:hAnsi="Tahoma" w:cs="Tahoma"/>
                <w:color w:val="7A0000"/>
                <w:sz w:val="20"/>
                <w:szCs w:val="20"/>
                <w:lang w:eastAsia="fr-FR"/>
              </w:rPr>
              <w:t xml:space="preserve"> </w:t>
            </w:r>
            <w:proofErr w:type="spellStart"/>
            <w:r w:rsidRPr="0022349C">
              <w:rPr>
                <w:rFonts w:ascii="Tahoma" w:eastAsia="Times New Roman" w:hAnsi="Tahoma" w:cs="Tahoma"/>
                <w:color w:val="7A0000"/>
                <w:sz w:val="20"/>
                <w:szCs w:val="20"/>
                <w:lang w:eastAsia="fr-FR"/>
              </w:rPr>
              <w:t>opérationnel</w:t>
            </w:r>
            <w:proofErr w:type="spellEnd"/>
            <w:r w:rsidRPr="0022349C">
              <w:rPr>
                <w:rFonts w:ascii="Tahoma" w:eastAsia="Times New Roman" w:hAnsi="Tahoma" w:cs="Tahoma"/>
                <w:color w:val="7A0000"/>
                <w:sz w:val="20"/>
                <w:szCs w:val="20"/>
                <w:lang w:eastAsia="fr-FR"/>
              </w:rPr>
              <w:t xml:space="preserve"> courant</w:t>
            </w:r>
          </w:p>
        </w:tc>
        <w:tc>
          <w:tcPr>
            <w:tcW w:w="1843" w:type="dxa"/>
            <w:tcBorders>
              <w:top w:val="single" w:sz="4" w:space="0" w:color="7E8083"/>
              <w:left w:val="nil"/>
              <w:bottom w:val="single" w:sz="4" w:space="0" w:color="7E8083"/>
              <w:right w:val="nil"/>
            </w:tcBorders>
            <w:shd w:val="clear" w:color="000000" w:fill="D7E1E1"/>
            <w:vAlign w:val="bottom"/>
            <w:hideMark/>
          </w:tcPr>
          <w:p w14:paraId="201926AE"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21 896</w:t>
            </w:r>
          </w:p>
        </w:tc>
        <w:tc>
          <w:tcPr>
            <w:tcW w:w="1701" w:type="dxa"/>
            <w:tcBorders>
              <w:top w:val="single" w:sz="4" w:space="0" w:color="7E8083"/>
              <w:left w:val="nil"/>
              <w:bottom w:val="single" w:sz="4" w:space="0" w:color="7E8083"/>
              <w:right w:val="nil"/>
            </w:tcBorders>
            <w:shd w:val="clear" w:color="auto" w:fill="auto"/>
            <w:vAlign w:val="bottom"/>
            <w:hideMark/>
          </w:tcPr>
          <w:p w14:paraId="7FEDB713"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21 454</w:t>
            </w:r>
          </w:p>
        </w:tc>
      </w:tr>
      <w:tr w:rsidR="00B00ACA" w:rsidRPr="0022349C" w14:paraId="57C62233" w14:textId="77777777" w:rsidTr="00C21F49">
        <w:trPr>
          <w:trHeight w:val="180"/>
        </w:trPr>
        <w:tc>
          <w:tcPr>
            <w:tcW w:w="5387" w:type="dxa"/>
            <w:tcBorders>
              <w:top w:val="nil"/>
              <w:left w:val="nil"/>
              <w:bottom w:val="nil"/>
              <w:right w:val="nil"/>
            </w:tcBorders>
            <w:shd w:val="clear" w:color="auto" w:fill="auto"/>
            <w:vAlign w:val="center"/>
            <w:hideMark/>
          </w:tcPr>
          <w:p w14:paraId="45B416F3"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p>
        </w:tc>
        <w:tc>
          <w:tcPr>
            <w:tcW w:w="1843" w:type="dxa"/>
            <w:tcBorders>
              <w:top w:val="nil"/>
              <w:left w:val="nil"/>
              <w:bottom w:val="nil"/>
              <w:right w:val="nil"/>
            </w:tcBorders>
            <w:shd w:val="clear" w:color="000000" w:fill="D7E1E1"/>
            <w:vAlign w:val="bottom"/>
            <w:hideMark/>
          </w:tcPr>
          <w:p w14:paraId="28E14FFB" w14:textId="77777777" w:rsidR="00B00ACA" w:rsidRPr="0022349C" w:rsidRDefault="00B00ACA" w:rsidP="00C21F49">
            <w:pPr>
              <w:spacing w:after="0" w:line="240" w:lineRule="auto"/>
              <w:ind w:firstLineChars="100" w:firstLine="200"/>
              <w:jc w:val="right"/>
              <w:rPr>
                <w:rFonts w:ascii="Tahoma" w:eastAsia="Times New Roman" w:hAnsi="Tahoma" w:cs="Tahoma"/>
                <w:color w:val="000000"/>
                <w:sz w:val="20"/>
                <w:szCs w:val="20"/>
                <w:lang w:eastAsia="fr-FR"/>
              </w:rPr>
            </w:pPr>
            <w:r w:rsidRPr="0022349C">
              <w:rPr>
                <w:rFonts w:ascii="Tahoma" w:eastAsia="Times New Roman" w:hAnsi="Tahoma" w:cs="Tahoma"/>
                <w:color w:val="000000"/>
                <w:sz w:val="20"/>
                <w:szCs w:val="20"/>
                <w:lang w:eastAsia="fr-FR"/>
              </w:rPr>
              <w:t> </w:t>
            </w:r>
          </w:p>
        </w:tc>
        <w:tc>
          <w:tcPr>
            <w:tcW w:w="1701" w:type="dxa"/>
            <w:tcBorders>
              <w:top w:val="nil"/>
              <w:left w:val="nil"/>
              <w:bottom w:val="nil"/>
              <w:right w:val="nil"/>
            </w:tcBorders>
            <w:shd w:val="clear" w:color="auto" w:fill="auto"/>
            <w:vAlign w:val="bottom"/>
            <w:hideMark/>
          </w:tcPr>
          <w:p w14:paraId="66C612A5" w14:textId="77777777" w:rsidR="00B00ACA" w:rsidRPr="0022349C" w:rsidRDefault="00B00ACA" w:rsidP="00C21F49">
            <w:pPr>
              <w:spacing w:after="0" w:line="240" w:lineRule="auto"/>
              <w:ind w:firstLineChars="100" w:firstLine="200"/>
              <w:jc w:val="right"/>
              <w:rPr>
                <w:rFonts w:ascii="Tahoma" w:eastAsia="Times New Roman" w:hAnsi="Tahoma" w:cs="Tahoma"/>
                <w:color w:val="000000"/>
                <w:sz w:val="20"/>
                <w:szCs w:val="20"/>
                <w:lang w:eastAsia="fr-FR"/>
              </w:rPr>
            </w:pPr>
          </w:p>
        </w:tc>
      </w:tr>
      <w:tr w:rsidR="00B00ACA" w:rsidRPr="0022349C" w14:paraId="631FB9BF" w14:textId="77777777" w:rsidTr="00C21F49">
        <w:trPr>
          <w:trHeight w:val="290"/>
        </w:trPr>
        <w:tc>
          <w:tcPr>
            <w:tcW w:w="5387" w:type="dxa"/>
            <w:tcBorders>
              <w:top w:val="nil"/>
              <w:left w:val="nil"/>
              <w:bottom w:val="nil"/>
              <w:right w:val="nil"/>
            </w:tcBorders>
            <w:shd w:val="clear" w:color="auto" w:fill="auto"/>
            <w:vAlign w:val="center"/>
            <w:hideMark/>
          </w:tcPr>
          <w:p w14:paraId="671AEBB2" w14:textId="77777777" w:rsidR="00B00ACA" w:rsidRPr="00B00ACA" w:rsidRDefault="00B00ACA" w:rsidP="00C21F49">
            <w:pPr>
              <w:spacing w:after="0" w:line="240" w:lineRule="auto"/>
              <w:ind w:firstLineChars="100" w:firstLine="200"/>
              <w:rPr>
                <w:rFonts w:ascii="Tahoma" w:eastAsia="Times New Roman" w:hAnsi="Tahoma" w:cs="Tahoma"/>
                <w:color w:val="000000"/>
                <w:sz w:val="20"/>
                <w:szCs w:val="20"/>
                <w:lang w:val="fr-FR" w:eastAsia="fr-FR"/>
              </w:rPr>
            </w:pPr>
            <w:r w:rsidRPr="00B00ACA">
              <w:rPr>
                <w:rFonts w:ascii="Tahoma" w:eastAsia="Times New Roman" w:hAnsi="Tahoma" w:cs="Tahoma"/>
                <w:color w:val="000000"/>
                <w:sz w:val="20"/>
                <w:szCs w:val="20"/>
                <w:lang w:val="fr-FR" w:eastAsia="fr-FR"/>
              </w:rPr>
              <w:t>Ajustement de la juste valeur des compléments de prix</w:t>
            </w:r>
          </w:p>
        </w:tc>
        <w:tc>
          <w:tcPr>
            <w:tcW w:w="1843" w:type="dxa"/>
            <w:tcBorders>
              <w:top w:val="nil"/>
              <w:left w:val="nil"/>
              <w:bottom w:val="nil"/>
              <w:right w:val="nil"/>
            </w:tcBorders>
            <w:shd w:val="clear" w:color="000000" w:fill="D7E1E1"/>
            <w:vAlign w:val="center"/>
            <w:hideMark/>
          </w:tcPr>
          <w:p w14:paraId="0ED0FE75"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c>
          <w:tcPr>
            <w:tcW w:w="1701" w:type="dxa"/>
            <w:tcBorders>
              <w:top w:val="nil"/>
              <w:left w:val="nil"/>
              <w:bottom w:val="nil"/>
              <w:right w:val="nil"/>
            </w:tcBorders>
            <w:shd w:val="clear" w:color="auto" w:fill="auto"/>
            <w:vAlign w:val="bottom"/>
            <w:hideMark/>
          </w:tcPr>
          <w:p w14:paraId="02BE8C79"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-57</w:t>
            </w:r>
          </w:p>
        </w:tc>
      </w:tr>
      <w:tr w:rsidR="00B00ACA" w:rsidRPr="0022349C" w14:paraId="392631DD" w14:textId="77777777" w:rsidTr="00C21F49">
        <w:trPr>
          <w:trHeight w:val="290"/>
        </w:trPr>
        <w:tc>
          <w:tcPr>
            <w:tcW w:w="5387" w:type="dxa"/>
            <w:tcBorders>
              <w:top w:val="nil"/>
              <w:left w:val="nil"/>
              <w:bottom w:val="nil"/>
              <w:right w:val="nil"/>
            </w:tcBorders>
            <w:shd w:val="clear" w:color="auto" w:fill="auto"/>
            <w:vAlign w:val="center"/>
            <w:hideMark/>
          </w:tcPr>
          <w:p w14:paraId="5325D2A4"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Autres produits opérationnels non courants</w:t>
            </w:r>
          </w:p>
        </w:tc>
        <w:tc>
          <w:tcPr>
            <w:tcW w:w="1843" w:type="dxa"/>
            <w:tcBorders>
              <w:top w:val="nil"/>
              <w:left w:val="nil"/>
              <w:bottom w:val="nil"/>
              <w:right w:val="nil"/>
            </w:tcBorders>
            <w:shd w:val="clear" w:color="000000" w:fill="D7E1E1"/>
            <w:vAlign w:val="center"/>
            <w:hideMark/>
          </w:tcPr>
          <w:p w14:paraId="6D0ED0E4"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3 794</w:t>
            </w:r>
          </w:p>
        </w:tc>
        <w:tc>
          <w:tcPr>
            <w:tcW w:w="1701" w:type="dxa"/>
            <w:tcBorders>
              <w:top w:val="nil"/>
              <w:left w:val="nil"/>
              <w:bottom w:val="nil"/>
              <w:right w:val="nil"/>
            </w:tcBorders>
            <w:shd w:val="clear" w:color="auto" w:fill="auto"/>
            <w:vAlign w:val="bottom"/>
            <w:hideMark/>
          </w:tcPr>
          <w:p w14:paraId="6C70A992"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939</w:t>
            </w:r>
          </w:p>
        </w:tc>
      </w:tr>
      <w:tr w:rsidR="00B00ACA" w:rsidRPr="0022349C" w14:paraId="5DFE1526" w14:textId="77777777" w:rsidTr="00C21F49">
        <w:trPr>
          <w:trHeight w:val="290"/>
        </w:trPr>
        <w:tc>
          <w:tcPr>
            <w:tcW w:w="5387" w:type="dxa"/>
            <w:tcBorders>
              <w:top w:val="nil"/>
              <w:left w:val="nil"/>
              <w:bottom w:val="nil"/>
              <w:right w:val="nil"/>
            </w:tcBorders>
            <w:shd w:val="clear" w:color="auto" w:fill="auto"/>
            <w:vAlign w:val="center"/>
            <w:hideMark/>
          </w:tcPr>
          <w:p w14:paraId="0953AD73"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Autres charges opérationnelles non courantes</w:t>
            </w:r>
          </w:p>
        </w:tc>
        <w:tc>
          <w:tcPr>
            <w:tcW w:w="1843" w:type="dxa"/>
            <w:tcBorders>
              <w:top w:val="nil"/>
              <w:left w:val="nil"/>
              <w:bottom w:val="nil"/>
              <w:right w:val="nil"/>
            </w:tcBorders>
            <w:shd w:val="clear" w:color="000000" w:fill="D7E1E1"/>
            <w:vAlign w:val="bottom"/>
            <w:hideMark/>
          </w:tcPr>
          <w:p w14:paraId="6A31D729"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-5 041</w:t>
            </w:r>
          </w:p>
        </w:tc>
        <w:tc>
          <w:tcPr>
            <w:tcW w:w="1701" w:type="dxa"/>
            <w:tcBorders>
              <w:top w:val="nil"/>
              <w:left w:val="nil"/>
              <w:bottom w:val="nil"/>
              <w:right w:val="nil"/>
            </w:tcBorders>
            <w:shd w:val="clear" w:color="auto" w:fill="auto"/>
            <w:vAlign w:val="bottom"/>
            <w:hideMark/>
          </w:tcPr>
          <w:p w14:paraId="15183D8D"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-3 476</w:t>
            </w:r>
          </w:p>
        </w:tc>
      </w:tr>
      <w:tr w:rsidR="00B00ACA" w:rsidRPr="0022349C" w14:paraId="00508513" w14:textId="77777777" w:rsidTr="00C21F49">
        <w:trPr>
          <w:trHeight w:val="290"/>
        </w:trPr>
        <w:tc>
          <w:tcPr>
            <w:tcW w:w="5387" w:type="dxa"/>
            <w:tcBorders>
              <w:top w:val="single" w:sz="4" w:space="0" w:color="7E8083"/>
              <w:left w:val="nil"/>
              <w:bottom w:val="single" w:sz="4" w:space="0" w:color="7E8083"/>
              <w:right w:val="nil"/>
            </w:tcBorders>
            <w:shd w:val="clear" w:color="auto" w:fill="auto"/>
            <w:vAlign w:val="center"/>
            <w:hideMark/>
          </w:tcPr>
          <w:p w14:paraId="777E4538" w14:textId="77777777" w:rsidR="00B00ACA" w:rsidRPr="0022349C" w:rsidRDefault="00B00ACA" w:rsidP="00C21F49">
            <w:pPr>
              <w:spacing w:after="0" w:line="240" w:lineRule="auto"/>
              <w:ind w:firstLineChars="100" w:firstLine="200"/>
              <w:rPr>
                <w:rFonts w:ascii="Tahoma" w:eastAsia="Times New Roman" w:hAnsi="Tahoma" w:cs="Tahoma"/>
                <w:color w:val="7A0000"/>
                <w:sz w:val="20"/>
                <w:szCs w:val="20"/>
                <w:lang w:eastAsia="fr-FR"/>
              </w:rPr>
            </w:pPr>
            <w:proofErr w:type="spellStart"/>
            <w:r w:rsidRPr="0022349C">
              <w:rPr>
                <w:rFonts w:ascii="Tahoma" w:eastAsia="Times New Roman" w:hAnsi="Tahoma" w:cs="Tahoma"/>
                <w:color w:val="7A0000"/>
                <w:sz w:val="20"/>
                <w:szCs w:val="20"/>
                <w:lang w:eastAsia="fr-FR"/>
              </w:rPr>
              <w:t>Résultat</w:t>
            </w:r>
            <w:proofErr w:type="spellEnd"/>
            <w:r w:rsidRPr="0022349C">
              <w:rPr>
                <w:rFonts w:ascii="Tahoma" w:eastAsia="Times New Roman" w:hAnsi="Tahoma" w:cs="Tahoma"/>
                <w:color w:val="7A0000"/>
                <w:sz w:val="20"/>
                <w:szCs w:val="20"/>
                <w:lang w:eastAsia="fr-FR"/>
              </w:rPr>
              <w:t xml:space="preserve"> </w:t>
            </w:r>
            <w:proofErr w:type="spellStart"/>
            <w:r w:rsidRPr="0022349C">
              <w:rPr>
                <w:rFonts w:ascii="Tahoma" w:eastAsia="Times New Roman" w:hAnsi="Tahoma" w:cs="Tahoma"/>
                <w:color w:val="7A0000"/>
                <w:sz w:val="20"/>
                <w:szCs w:val="20"/>
                <w:lang w:eastAsia="fr-FR"/>
              </w:rPr>
              <w:t>opérationnel</w:t>
            </w:r>
            <w:proofErr w:type="spellEnd"/>
          </w:p>
        </w:tc>
        <w:tc>
          <w:tcPr>
            <w:tcW w:w="1843" w:type="dxa"/>
            <w:tcBorders>
              <w:top w:val="single" w:sz="4" w:space="0" w:color="7E8083"/>
              <w:left w:val="nil"/>
              <w:bottom w:val="single" w:sz="4" w:space="0" w:color="7E8083"/>
              <w:right w:val="nil"/>
            </w:tcBorders>
            <w:shd w:val="clear" w:color="000000" w:fill="D7E1E1"/>
            <w:vAlign w:val="bottom"/>
            <w:hideMark/>
          </w:tcPr>
          <w:p w14:paraId="42325D32"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20 649</w:t>
            </w:r>
          </w:p>
        </w:tc>
        <w:tc>
          <w:tcPr>
            <w:tcW w:w="1701" w:type="dxa"/>
            <w:tcBorders>
              <w:top w:val="single" w:sz="4" w:space="0" w:color="7E8083"/>
              <w:left w:val="nil"/>
              <w:bottom w:val="single" w:sz="4" w:space="0" w:color="7E8083"/>
              <w:right w:val="nil"/>
            </w:tcBorders>
            <w:shd w:val="clear" w:color="auto" w:fill="auto"/>
            <w:vAlign w:val="bottom"/>
            <w:hideMark/>
          </w:tcPr>
          <w:p w14:paraId="212E17B7"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18 861</w:t>
            </w:r>
          </w:p>
        </w:tc>
      </w:tr>
      <w:tr w:rsidR="00B00ACA" w:rsidRPr="0022349C" w14:paraId="159ABDB4" w14:textId="77777777" w:rsidTr="00C21F49">
        <w:trPr>
          <w:trHeight w:val="105"/>
        </w:trPr>
        <w:tc>
          <w:tcPr>
            <w:tcW w:w="5387" w:type="dxa"/>
            <w:tcBorders>
              <w:top w:val="nil"/>
              <w:left w:val="nil"/>
              <w:bottom w:val="nil"/>
              <w:right w:val="nil"/>
            </w:tcBorders>
            <w:shd w:val="clear" w:color="auto" w:fill="auto"/>
            <w:vAlign w:val="center"/>
            <w:hideMark/>
          </w:tcPr>
          <w:p w14:paraId="2C0DE938"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p>
        </w:tc>
        <w:tc>
          <w:tcPr>
            <w:tcW w:w="1843" w:type="dxa"/>
            <w:tcBorders>
              <w:top w:val="nil"/>
              <w:left w:val="nil"/>
              <w:bottom w:val="nil"/>
              <w:right w:val="nil"/>
            </w:tcBorders>
            <w:shd w:val="clear" w:color="000000" w:fill="D7E1E1"/>
            <w:vAlign w:val="bottom"/>
            <w:hideMark/>
          </w:tcPr>
          <w:p w14:paraId="2CB8CF7B" w14:textId="77777777" w:rsidR="00B00ACA" w:rsidRPr="0022349C" w:rsidRDefault="00B00ACA" w:rsidP="00C21F49">
            <w:pPr>
              <w:spacing w:after="0" w:line="240" w:lineRule="auto"/>
              <w:ind w:firstLineChars="100" w:firstLine="200"/>
              <w:jc w:val="right"/>
              <w:rPr>
                <w:rFonts w:ascii="Tahoma" w:eastAsia="Times New Roman" w:hAnsi="Tahoma" w:cs="Tahoma"/>
                <w:color w:val="000000"/>
                <w:sz w:val="20"/>
                <w:szCs w:val="20"/>
                <w:lang w:eastAsia="fr-FR"/>
              </w:rPr>
            </w:pPr>
            <w:r w:rsidRPr="0022349C">
              <w:rPr>
                <w:rFonts w:ascii="Tahoma" w:eastAsia="Times New Roman" w:hAnsi="Tahoma" w:cs="Tahoma"/>
                <w:color w:val="000000"/>
                <w:sz w:val="20"/>
                <w:szCs w:val="20"/>
                <w:lang w:eastAsia="fr-FR"/>
              </w:rPr>
              <w:t> </w:t>
            </w:r>
          </w:p>
        </w:tc>
        <w:tc>
          <w:tcPr>
            <w:tcW w:w="1701" w:type="dxa"/>
            <w:tcBorders>
              <w:top w:val="nil"/>
              <w:left w:val="nil"/>
              <w:bottom w:val="nil"/>
              <w:right w:val="nil"/>
            </w:tcBorders>
            <w:shd w:val="clear" w:color="auto" w:fill="auto"/>
            <w:vAlign w:val="bottom"/>
            <w:hideMark/>
          </w:tcPr>
          <w:p w14:paraId="48FC6425" w14:textId="77777777" w:rsidR="00B00ACA" w:rsidRPr="0022349C" w:rsidRDefault="00B00ACA" w:rsidP="00C21F49">
            <w:pPr>
              <w:spacing w:after="0" w:line="240" w:lineRule="auto"/>
              <w:ind w:firstLineChars="100" w:firstLine="200"/>
              <w:jc w:val="right"/>
              <w:rPr>
                <w:rFonts w:ascii="Tahoma" w:eastAsia="Times New Roman" w:hAnsi="Tahoma" w:cs="Tahoma"/>
                <w:color w:val="000000"/>
                <w:sz w:val="20"/>
                <w:szCs w:val="20"/>
                <w:lang w:eastAsia="fr-FR"/>
              </w:rPr>
            </w:pPr>
          </w:p>
        </w:tc>
      </w:tr>
      <w:tr w:rsidR="00B00ACA" w:rsidRPr="0022349C" w14:paraId="642BC84A" w14:textId="77777777" w:rsidTr="00C21F49">
        <w:trPr>
          <w:trHeight w:val="290"/>
        </w:trPr>
        <w:tc>
          <w:tcPr>
            <w:tcW w:w="5387" w:type="dxa"/>
            <w:tcBorders>
              <w:top w:val="nil"/>
              <w:left w:val="nil"/>
              <w:bottom w:val="single" w:sz="4" w:space="0" w:color="7E8083"/>
              <w:right w:val="nil"/>
            </w:tcBorders>
            <w:shd w:val="clear" w:color="auto" w:fill="auto"/>
            <w:vAlign w:val="center"/>
            <w:hideMark/>
          </w:tcPr>
          <w:p w14:paraId="6C6C6932"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Quote-part de résultat net des sociétés mises</w:t>
            </w:r>
          </w:p>
          <w:p w14:paraId="160C95F5"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en</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équivalence</w:t>
            </w:r>
            <w:proofErr w:type="spellEnd"/>
          </w:p>
        </w:tc>
        <w:tc>
          <w:tcPr>
            <w:tcW w:w="1843" w:type="dxa"/>
            <w:tcBorders>
              <w:top w:val="nil"/>
              <w:left w:val="nil"/>
              <w:bottom w:val="nil"/>
              <w:right w:val="nil"/>
            </w:tcBorders>
            <w:shd w:val="clear" w:color="000000" w:fill="D7E1E1"/>
            <w:vAlign w:val="bottom"/>
            <w:hideMark/>
          </w:tcPr>
          <w:p w14:paraId="7BE195F7"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c>
          <w:tcPr>
            <w:tcW w:w="1701" w:type="dxa"/>
            <w:tcBorders>
              <w:top w:val="nil"/>
              <w:left w:val="nil"/>
              <w:bottom w:val="single" w:sz="4" w:space="0" w:color="7E8083"/>
              <w:right w:val="nil"/>
            </w:tcBorders>
            <w:shd w:val="clear" w:color="auto" w:fill="auto"/>
            <w:vAlign w:val="bottom"/>
            <w:hideMark/>
          </w:tcPr>
          <w:p w14:paraId="18432D41"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39</w:t>
            </w:r>
          </w:p>
        </w:tc>
      </w:tr>
      <w:tr w:rsidR="00B00ACA" w:rsidRPr="0022349C" w14:paraId="19A11470" w14:textId="77777777" w:rsidTr="00C21F49">
        <w:trPr>
          <w:trHeight w:val="500"/>
        </w:trPr>
        <w:tc>
          <w:tcPr>
            <w:tcW w:w="5387" w:type="dxa"/>
            <w:tcBorders>
              <w:top w:val="nil"/>
              <w:left w:val="nil"/>
              <w:bottom w:val="single" w:sz="4" w:space="0" w:color="7E8083"/>
              <w:right w:val="nil"/>
            </w:tcBorders>
            <w:shd w:val="clear" w:color="auto" w:fill="auto"/>
            <w:vAlign w:val="center"/>
            <w:hideMark/>
          </w:tcPr>
          <w:p w14:paraId="7EAFA921" w14:textId="77777777" w:rsidR="00B00ACA" w:rsidRPr="00B00ACA" w:rsidRDefault="00B00ACA" w:rsidP="00C21F49">
            <w:pPr>
              <w:spacing w:after="0" w:line="240" w:lineRule="auto"/>
              <w:ind w:firstLineChars="100" w:firstLine="200"/>
              <w:rPr>
                <w:rFonts w:ascii="Tahoma" w:eastAsia="Times New Roman" w:hAnsi="Tahoma" w:cs="Tahoma"/>
                <w:color w:val="7A0000"/>
                <w:sz w:val="20"/>
                <w:szCs w:val="20"/>
                <w:lang w:val="fr-FR" w:eastAsia="fr-FR"/>
              </w:rPr>
            </w:pPr>
            <w:r w:rsidRPr="00B00ACA">
              <w:rPr>
                <w:rFonts w:ascii="Tahoma" w:eastAsia="Times New Roman" w:hAnsi="Tahoma" w:cs="Tahoma"/>
                <w:color w:val="7A0000"/>
                <w:sz w:val="20"/>
                <w:szCs w:val="20"/>
                <w:lang w:val="fr-FR" w:eastAsia="fr-FR"/>
              </w:rPr>
              <w:t>Résultat opérationnel après quote-part de résultat</w:t>
            </w:r>
          </w:p>
          <w:p w14:paraId="33F8468F" w14:textId="77777777" w:rsidR="00B00ACA" w:rsidRPr="00B00ACA" w:rsidRDefault="00B00ACA" w:rsidP="00C21F49">
            <w:pPr>
              <w:spacing w:after="0" w:line="240" w:lineRule="auto"/>
              <w:ind w:firstLineChars="100" w:firstLine="200"/>
              <w:rPr>
                <w:rFonts w:ascii="Tahoma" w:eastAsia="Times New Roman" w:hAnsi="Tahoma" w:cs="Tahoma"/>
                <w:color w:val="7A0000"/>
                <w:sz w:val="20"/>
                <w:szCs w:val="20"/>
                <w:lang w:val="fr-FR" w:eastAsia="fr-FR"/>
              </w:rPr>
            </w:pPr>
            <w:r w:rsidRPr="00B00ACA">
              <w:rPr>
                <w:rFonts w:ascii="Tahoma" w:eastAsia="Times New Roman" w:hAnsi="Tahoma" w:cs="Tahoma"/>
                <w:color w:val="7A0000"/>
                <w:sz w:val="20"/>
                <w:szCs w:val="20"/>
                <w:lang w:val="fr-FR" w:eastAsia="fr-FR"/>
              </w:rPr>
              <w:t>net dans les entités mises en équivalence</w:t>
            </w:r>
          </w:p>
        </w:tc>
        <w:tc>
          <w:tcPr>
            <w:tcW w:w="1843" w:type="dxa"/>
            <w:tcBorders>
              <w:top w:val="single" w:sz="4" w:space="0" w:color="7E8083"/>
              <w:left w:val="nil"/>
              <w:bottom w:val="single" w:sz="4" w:space="0" w:color="7E8083"/>
              <w:right w:val="nil"/>
            </w:tcBorders>
            <w:shd w:val="clear" w:color="000000" w:fill="D7E1E1"/>
            <w:vAlign w:val="bottom"/>
            <w:hideMark/>
          </w:tcPr>
          <w:p w14:paraId="56B7A142"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20 649</w:t>
            </w:r>
          </w:p>
        </w:tc>
        <w:tc>
          <w:tcPr>
            <w:tcW w:w="1701" w:type="dxa"/>
            <w:tcBorders>
              <w:top w:val="nil"/>
              <w:left w:val="nil"/>
              <w:bottom w:val="single" w:sz="4" w:space="0" w:color="7E8083"/>
              <w:right w:val="nil"/>
            </w:tcBorders>
            <w:shd w:val="clear" w:color="auto" w:fill="auto"/>
            <w:vAlign w:val="bottom"/>
            <w:hideMark/>
          </w:tcPr>
          <w:p w14:paraId="5DB23B7D"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18 900</w:t>
            </w:r>
          </w:p>
        </w:tc>
      </w:tr>
      <w:tr w:rsidR="00B00ACA" w:rsidRPr="0022349C" w14:paraId="15343EA7" w14:textId="77777777" w:rsidTr="00C21F49">
        <w:trPr>
          <w:trHeight w:val="75"/>
        </w:trPr>
        <w:tc>
          <w:tcPr>
            <w:tcW w:w="5387" w:type="dxa"/>
            <w:tcBorders>
              <w:top w:val="nil"/>
              <w:left w:val="nil"/>
              <w:bottom w:val="nil"/>
              <w:right w:val="nil"/>
            </w:tcBorders>
            <w:shd w:val="clear" w:color="auto" w:fill="auto"/>
            <w:vAlign w:val="bottom"/>
            <w:hideMark/>
          </w:tcPr>
          <w:p w14:paraId="5399C0FD"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p>
        </w:tc>
        <w:tc>
          <w:tcPr>
            <w:tcW w:w="1843" w:type="dxa"/>
            <w:tcBorders>
              <w:top w:val="nil"/>
              <w:left w:val="nil"/>
              <w:bottom w:val="nil"/>
              <w:right w:val="nil"/>
            </w:tcBorders>
            <w:shd w:val="clear" w:color="000000" w:fill="D7E1E1"/>
            <w:noWrap/>
            <w:vAlign w:val="bottom"/>
            <w:hideMark/>
          </w:tcPr>
          <w:p w14:paraId="4C8D7B82" w14:textId="77777777" w:rsidR="00B00ACA" w:rsidRPr="0022349C" w:rsidRDefault="00B00ACA" w:rsidP="00C21F49">
            <w:pPr>
              <w:spacing w:after="0" w:line="240" w:lineRule="auto"/>
              <w:ind w:firstLineChars="100" w:firstLine="220"/>
              <w:jc w:val="right"/>
              <w:rPr>
                <w:rFonts w:ascii="Tahoma" w:eastAsia="Times New Roman" w:hAnsi="Tahoma" w:cs="Tahoma"/>
                <w:color w:val="000000"/>
                <w:lang w:eastAsia="fr-FR"/>
              </w:rPr>
            </w:pPr>
            <w:r w:rsidRPr="0022349C">
              <w:rPr>
                <w:rFonts w:ascii="Tahoma" w:eastAsia="Times New Roman" w:hAnsi="Tahoma" w:cs="Tahoma"/>
                <w:color w:val="000000"/>
                <w:lang w:eastAsia="fr-FR"/>
              </w:rPr>
              <w:t> </w:t>
            </w:r>
          </w:p>
        </w:tc>
        <w:tc>
          <w:tcPr>
            <w:tcW w:w="1701" w:type="dxa"/>
            <w:tcBorders>
              <w:top w:val="nil"/>
              <w:left w:val="nil"/>
              <w:bottom w:val="nil"/>
              <w:right w:val="nil"/>
            </w:tcBorders>
            <w:shd w:val="clear" w:color="auto" w:fill="auto"/>
            <w:noWrap/>
            <w:vAlign w:val="bottom"/>
            <w:hideMark/>
          </w:tcPr>
          <w:p w14:paraId="6AC7FCA5" w14:textId="77777777" w:rsidR="00B00ACA" w:rsidRPr="0022349C" w:rsidRDefault="00B00ACA" w:rsidP="00C21F49">
            <w:pPr>
              <w:spacing w:after="0" w:line="240" w:lineRule="auto"/>
              <w:ind w:firstLineChars="100" w:firstLine="220"/>
              <w:jc w:val="right"/>
              <w:rPr>
                <w:rFonts w:ascii="Tahoma" w:eastAsia="Times New Roman" w:hAnsi="Tahoma" w:cs="Tahoma"/>
                <w:color w:val="000000"/>
                <w:lang w:eastAsia="fr-FR"/>
              </w:rPr>
            </w:pPr>
          </w:p>
        </w:tc>
      </w:tr>
      <w:tr w:rsidR="00B00ACA" w:rsidRPr="0022349C" w14:paraId="33D2A536" w14:textId="77777777" w:rsidTr="00C21F49">
        <w:trPr>
          <w:trHeight w:val="290"/>
        </w:trPr>
        <w:tc>
          <w:tcPr>
            <w:tcW w:w="5387" w:type="dxa"/>
            <w:tcBorders>
              <w:top w:val="nil"/>
              <w:left w:val="nil"/>
              <w:bottom w:val="nil"/>
              <w:right w:val="nil"/>
            </w:tcBorders>
            <w:shd w:val="clear" w:color="auto" w:fill="auto"/>
            <w:vAlign w:val="center"/>
            <w:hideMark/>
          </w:tcPr>
          <w:p w14:paraId="10545820"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Produits de trésorerie et d'équivalents de trésorerie</w:t>
            </w:r>
          </w:p>
        </w:tc>
        <w:tc>
          <w:tcPr>
            <w:tcW w:w="1843" w:type="dxa"/>
            <w:tcBorders>
              <w:top w:val="nil"/>
              <w:left w:val="nil"/>
              <w:bottom w:val="nil"/>
              <w:right w:val="nil"/>
            </w:tcBorders>
            <w:shd w:val="clear" w:color="000000" w:fill="D7E1E1"/>
            <w:vAlign w:val="bottom"/>
            <w:hideMark/>
          </w:tcPr>
          <w:p w14:paraId="0EC573B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c>
          <w:tcPr>
            <w:tcW w:w="1701" w:type="dxa"/>
            <w:tcBorders>
              <w:top w:val="nil"/>
              <w:left w:val="nil"/>
              <w:bottom w:val="nil"/>
              <w:right w:val="nil"/>
            </w:tcBorders>
            <w:shd w:val="clear" w:color="auto" w:fill="auto"/>
            <w:vAlign w:val="bottom"/>
            <w:hideMark/>
          </w:tcPr>
          <w:p w14:paraId="47F597F0"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r>
      <w:tr w:rsidR="00B00ACA" w:rsidRPr="0022349C" w14:paraId="03BD02D7" w14:textId="77777777" w:rsidTr="00C21F49">
        <w:trPr>
          <w:trHeight w:val="290"/>
        </w:trPr>
        <w:tc>
          <w:tcPr>
            <w:tcW w:w="5387" w:type="dxa"/>
            <w:tcBorders>
              <w:top w:val="nil"/>
              <w:left w:val="nil"/>
              <w:bottom w:val="nil"/>
              <w:right w:val="nil"/>
            </w:tcBorders>
            <w:shd w:val="clear" w:color="auto" w:fill="auto"/>
            <w:vAlign w:val="center"/>
            <w:hideMark/>
          </w:tcPr>
          <w:p w14:paraId="3318C5FC"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Coût de l’endettement financier brut</w:t>
            </w:r>
          </w:p>
        </w:tc>
        <w:tc>
          <w:tcPr>
            <w:tcW w:w="1843" w:type="dxa"/>
            <w:tcBorders>
              <w:top w:val="nil"/>
              <w:left w:val="nil"/>
              <w:bottom w:val="nil"/>
              <w:right w:val="nil"/>
            </w:tcBorders>
            <w:shd w:val="clear" w:color="000000" w:fill="D7E1E1"/>
            <w:vAlign w:val="bottom"/>
            <w:hideMark/>
          </w:tcPr>
          <w:p w14:paraId="58702552"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-12 947</w:t>
            </w:r>
          </w:p>
        </w:tc>
        <w:tc>
          <w:tcPr>
            <w:tcW w:w="1701" w:type="dxa"/>
            <w:tcBorders>
              <w:top w:val="nil"/>
              <w:left w:val="nil"/>
              <w:bottom w:val="nil"/>
              <w:right w:val="nil"/>
            </w:tcBorders>
            <w:shd w:val="clear" w:color="auto" w:fill="auto"/>
            <w:vAlign w:val="bottom"/>
            <w:hideMark/>
          </w:tcPr>
          <w:p w14:paraId="61548D49"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-7 233</w:t>
            </w:r>
          </w:p>
        </w:tc>
      </w:tr>
      <w:tr w:rsidR="00B00ACA" w:rsidRPr="0022349C" w14:paraId="45182D39" w14:textId="77777777" w:rsidTr="00C21F49">
        <w:trPr>
          <w:trHeight w:val="290"/>
        </w:trPr>
        <w:tc>
          <w:tcPr>
            <w:tcW w:w="5387" w:type="dxa"/>
            <w:tcBorders>
              <w:top w:val="single" w:sz="4" w:space="0" w:color="7E8083"/>
              <w:left w:val="nil"/>
              <w:bottom w:val="single" w:sz="4" w:space="0" w:color="7E8083"/>
              <w:right w:val="nil"/>
            </w:tcBorders>
            <w:shd w:val="clear" w:color="auto" w:fill="auto"/>
            <w:vAlign w:val="center"/>
            <w:hideMark/>
          </w:tcPr>
          <w:p w14:paraId="05229301" w14:textId="77777777" w:rsidR="00B00ACA" w:rsidRPr="00B00ACA" w:rsidRDefault="00B00ACA" w:rsidP="00C21F49">
            <w:pPr>
              <w:spacing w:after="0" w:line="240" w:lineRule="auto"/>
              <w:ind w:firstLineChars="100" w:firstLine="200"/>
              <w:rPr>
                <w:rFonts w:ascii="Tahoma" w:eastAsia="Times New Roman" w:hAnsi="Tahoma" w:cs="Tahoma"/>
                <w:color w:val="7A0000"/>
                <w:sz w:val="20"/>
                <w:szCs w:val="20"/>
                <w:lang w:val="fr-FR" w:eastAsia="fr-FR"/>
              </w:rPr>
            </w:pPr>
            <w:r w:rsidRPr="00B00ACA">
              <w:rPr>
                <w:rFonts w:ascii="Tahoma" w:eastAsia="Times New Roman" w:hAnsi="Tahoma" w:cs="Tahoma"/>
                <w:color w:val="7A0000"/>
                <w:sz w:val="20"/>
                <w:szCs w:val="20"/>
                <w:lang w:val="fr-FR" w:eastAsia="fr-FR"/>
              </w:rPr>
              <w:t>Coût de l’endettement financier net</w:t>
            </w:r>
          </w:p>
        </w:tc>
        <w:tc>
          <w:tcPr>
            <w:tcW w:w="1843" w:type="dxa"/>
            <w:tcBorders>
              <w:top w:val="single" w:sz="4" w:space="0" w:color="7E8083"/>
              <w:left w:val="nil"/>
              <w:bottom w:val="single" w:sz="4" w:space="0" w:color="7E8083"/>
              <w:right w:val="nil"/>
            </w:tcBorders>
            <w:shd w:val="clear" w:color="000000" w:fill="D7E1E1"/>
            <w:vAlign w:val="bottom"/>
            <w:hideMark/>
          </w:tcPr>
          <w:p w14:paraId="1A6E36E0"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-12 947</w:t>
            </w:r>
          </w:p>
        </w:tc>
        <w:tc>
          <w:tcPr>
            <w:tcW w:w="1701" w:type="dxa"/>
            <w:tcBorders>
              <w:top w:val="single" w:sz="4" w:space="0" w:color="7E8083"/>
              <w:left w:val="nil"/>
              <w:bottom w:val="single" w:sz="4" w:space="0" w:color="7E8083"/>
              <w:right w:val="nil"/>
            </w:tcBorders>
            <w:shd w:val="clear" w:color="auto" w:fill="auto"/>
            <w:vAlign w:val="bottom"/>
            <w:hideMark/>
          </w:tcPr>
          <w:p w14:paraId="113BFAFB"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-7 233</w:t>
            </w:r>
          </w:p>
        </w:tc>
      </w:tr>
      <w:tr w:rsidR="00B00ACA" w:rsidRPr="0022349C" w14:paraId="673138B2" w14:textId="77777777" w:rsidTr="00C21F49">
        <w:trPr>
          <w:trHeight w:val="180"/>
        </w:trPr>
        <w:tc>
          <w:tcPr>
            <w:tcW w:w="5387" w:type="dxa"/>
            <w:tcBorders>
              <w:top w:val="nil"/>
              <w:left w:val="nil"/>
              <w:bottom w:val="nil"/>
              <w:right w:val="nil"/>
            </w:tcBorders>
            <w:shd w:val="clear" w:color="auto" w:fill="auto"/>
            <w:vAlign w:val="center"/>
            <w:hideMark/>
          </w:tcPr>
          <w:p w14:paraId="4B8BCCD5"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p>
        </w:tc>
        <w:tc>
          <w:tcPr>
            <w:tcW w:w="1843" w:type="dxa"/>
            <w:tcBorders>
              <w:top w:val="nil"/>
              <w:left w:val="nil"/>
              <w:bottom w:val="nil"/>
              <w:right w:val="nil"/>
            </w:tcBorders>
            <w:shd w:val="clear" w:color="000000" w:fill="D7E1E1"/>
            <w:vAlign w:val="bottom"/>
            <w:hideMark/>
          </w:tcPr>
          <w:p w14:paraId="4D3DDB26" w14:textId="77777777" w:rsidR="00B00ACA" w:rsidRPr="0022349C" w:rsidRDefault="00B00ACA" w:rsidP="00C21F49">
            <w:pPr>
              <w:spacing w:after="0" w:line="240" w:lineRule="auto"/>
              <w:ind w:firstLineChars="100" w:firstLine="200"/>
              <w:jc w:val="right"/>
              <w:rPr>
                <w:rFonts w:ascii="Tahoma" w:eastAsia="Times New Roman" w:hAnsi="Tahoma" w:cs="Tahoma"/>
                <w:color w:val="000000"/>
                <w:sz w:val="20"/>
                <w:szCs w:val="20"/>
                <w:lang w:eastAsia="fr-FR"/>
              </w:rPr>
            </w:pPr>
            <w:r w:rsidRPr="0022349C">
              <w:rPr>
                <w:rFonts w:ascii="Tahoma" w:eastAsia="Times New Roman" w:hAnsi="Tahoma" w:cs="Tahoma"/>
                <w:color w:val="000000"/>
                <w:sz w:val="20"/>
                <w:szCs w:val="20"/>
                <w:lang w:eastAsia="fr-FR"/>
              </w:rPr>
              <w:t> </w:t>
            </w:r>
          </w:p>
        </w:tc>
        <w:tc>
          <w:tcPr>
            <w:tcW w:w="1701" w:type="dxa"/>
            <w:tcBorders>
              <w:top w:val="nil"/>
              <w:left w:val="nil"/>
              <w:bottom w:val="nil"/>
              <w:right w:val="nil"/>
            </w:tcBorders>
            <w:shd w:val="clear" w:color="auto" w:fill="auto"/>
            <w:vAlign w:val="bottom"/>
            <w:hideMark/>
          </w:tcPr>
          <w:p w14:paraId="590D1D7D" w14:textId="77777777" w:rsidR="00B00ACA" w:rsidRPr="0022349C" w:rsidRDefault="00B00ACA" w:rsidP="00C21F49">
            <w:pPr>
              <w:spacing w:after="0" w:line="240" w:lineRule="auto"/>
              <w:ind w:firstLineChars="100" w:firstLine="200"/>
              <w:jc w:val="right"/>
              <w:rPr>
                <w:rFonts w:ascii="Tahoma" w:eastAsia="Times New Roman" w:hAnsi="Tahoma" w:cs="Tahoma"/>
                <w:color w:val="000000"/>
                <w:sz w:val="20"/>
                <w:szCs w:val="20"/>
                <w:lang w:eastAsia="fr-FR"/>
              </w:rPr>
            </w:pPr>
          </w:p>
        </w:tc>
      </w:tr>
      <w:tr w:rsidR="00B00ACA" w:rsidRPr="0022349C" w14:paraId="2E62BA48" w14:textId="77777777" w:rsidTr="00C21F49">
        <w:trPr>
          <w:trHeight w:val="290"/>
        </w:trPr>
        <w:tc>
          <w:tcPr>
            <w:tcW w:w="5387" w:type="dxa"/>
            <w:tcBorders>
              <w:top w:val="nil"/>
              <w:left w:val="nil"/>
              <w:bottom w:val="single" w:sz="4" w:space="0" w:color="7E8083"/>
              <w:right w:val="nil"/>
            </w:tcBorders>
            <w:shd w:val="clear" w:color="auto" w:fill="auto"/>
            <w:vAlign w:val="center"/>
            <w:hideMark/>
          </w:tcPr>
          <w:p w14:paraId="66590145"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Autres produits et charges financiers</w:t>
            </w:r>
          </w:p>
        </w:tc>
        <w:tc>
          <w:tcPr>
            <w:tcW w:w="1843" w:type="dxa"/>
            <w:tcBorders>
              <w:top w:val="nil"/>
              <w:left w:val="nil"/>
              <w:bottom w:val="single" w:sz="4" w:space="0" w:color="7E8083"/>
              <w:right w:val="nil"/>
            </w:tcBorders>
            <w:shd w:val="clear" w:color="000000" w:fill="D7E1E1"/>
            <w:vAlign w:val="bottom"/>
            <w:hideMark/>
          </w:tcPr>
          <w:p w14:paraId="7F929086"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1 021</w:t>
            </w:r>
          </w:p>
        </w:tc>
        <w:tc>
          <w:tcPr>
            <w:tcW w:w="1701" w:type="dxa"/>
            <w:tcBorders>
              <w:top w:val="nil"/>
              <w:left w:val="nil"/>
              <w:bottom w:val="single" w:sz="4" w:space="0" w:color="7E8083"/>
              <w:right w:val="nil"/>
            </w:tcBorders>
            <w:shd w:val="clear" w:color="auto" w:fill="auto"/>
            <w:vAlign w:val="bottom"/>
            <w:hideMark/>
          </w:tcPr>
          <w:p w14:paraId="34BF6A6D"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352</w:t>
            </w:r>
          </w:p>
        </w:tc>
      </w:tr>
      <w:tr w:rsidR="00B00ACA" w:rsidRPr="0022349C" w14:paraId="286E80AE" w14:textId="77777777" w:rsidTr="00C21F49">
        <w:trPr>
          <w:trHeight w:val="290"/>
        </w:trPr>
        <w:tc>
          <w:tcPr>
            <w:tcW w:w="5387" w:type="dxa"/>
            <w:tcBorders>
              <w:top w:val="nil"/>
              <w:left w:val="nil"/>
              <w:bottom w:val="single" w:sz="4" w:space="0" w:color="7E8083"/>
              <w:right w:val="nil"/>
            </w:tcBorders>
            <w:shd w:val="clear" w:color="auto" w:fill="auto"/>
            <w:vAlign w:val="center"/>
            <w:hideMark/>
          </w:tcPr>
          <w:p w14:paraId="1C91181A" w14:textId="77777777" w:rsidR="00B00ACA" w:rsidRPr="0022349C" w:rsidRDefault="00B00ACA" w:rsidP="00C21F49">
            <w:pPr>
              <w:spacing w:after="0" w:line="240" w:lineRule="auto"/>
              <w:ind w:firstLineChars="100" w:firstLine="200"/>
              <w:rPr>
                <w:rFonts w:ascii="Tahoma" w:eastAsia="Times New Roman" w:hAnsi="Tahoma" w:cs="Tahoma"/>
                <w:color w:val="7A0000"/>
                <w:sz w:val="20"/>
                <w:szCs w:val="20"/>
                <w:lang w:eastAsia="fr-FR"/>
              </w:rPr>
            </w:pPr>
            <w:proofErr w:type="spellStart"/>
            <w:r w:rsidRPr="0022349C">
              <w:rPr>
                <w:rFonts w:ascii="Tahoma" w:eastAsia="Times New Roman" w:hAnsi="Tahoma" w:cs="Tahoma"/>
                <w:color w:val="7A0000"/>
                <w:sz w:val="20"/>
                <w:szCs w:val="20"/>
                <w:lang w:eastAsia="fr-FR"/>
              </w:rPr>
              <w:t>Résultat</w:t>
            </w:r>
            <w:proofErr w:type="spellEnd"/>
            <w:r w:rsidRPr="0022349C">
              <w:rPr>
                <w:rFonts w:ascii="Tahoma" w:eastAsia="Times New Roman" w:hAnsi="Tahoma" w:cs="Tahoma"/>
                <w:color w:val="7A0000"/>
                <w:sz w:val="20"/>
                <w:szCs w:val="20"/>
                <w:lang w:eastAsia="fr-FR"/>
              </w:rPr>
              <w:t xml:space="preserve"> </w:t>
            </w:r>
            <w:proofErr w:type="spellStart"/>
            <w:r w:rsidRPr="0022349C">
              <w:rPr>
                <w:rFonts w:ascii="Tahoma" w:eastAsia="Times New Roman" w:hAnsi="Tahoma" w:cs="Tahoma"/>
                <w:color w:val="7A0000"/>
                <w:sz w:val="20"/>
                <w:szCs w:val="20"/>
                <w:lang w:eastAsia="fr-FR"/>
              </w:rPr>
              <w:t>avant</w:t>
            </w:r>
            <w:proofErr w:type="spellEnd"/>
            <w:r w:rsidRPr="0022349C">
              <w:rPr>
                <w:rFonts w:ascii="Tahoma" w:eastAsia="Times New Roman" w:hAnsi="Tahoma" w:cs="Tahoma"/>
                <w:color w:val="7A0000"/>
                <w:sz w:val="20"/>
                <w:szCs w:val="20"/>
                <w:lang w:eastAsia="fr-FR"/>
              </w:rPr>
              <w:t xml:space="preserve"> </w:t>
            </w:r>
            <w:proofErr w:type="spellStart"/>
            <w:r w:rsidRPr="0022349C">
              <w:rPr>
                <w:rFonts w:ascii="Tahoma" w:eastAsia="Times New Roman" w:hAnsi="Tahoma" w:cs="Tahoma"/>
                <w:color w:val="7A0000"/>
                <w:sz w:val="20"/>
                <w:szCs w:val="20"/>
                <w:lang w:eastAsia="fr-FR"/>
              </w:rPr>
              <w:t>impôt</w:t>
            </w:r>
            <w:proofErr w:type="spellEnd"/>
          </w:p>
        </w:tc>
        <w:tc>
          <w:tcPr>
            <w:tcW w:w="1843" w:type="dxa"/>
            <w:tcBorders>
              <w:top w:val="nil"/>
              <w:left w:val="nil"/>
              <w:bottom w:val="single" w:sz="4" w:space="0" w:color="7E8083"/>
              <w:right w:val="nil"/>
            </w:tcBorders>
            <w:shd w:val="clear" w:color="000000" w:fill="D7E1E1"/>
            <w:vAlign w:val="bottom"/>
            <w:hideMark/>
          </w:tcPr>
          <w:p w14:paraId="05565CEA"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8 723</w:t>
            </w:r>
          </w:p>
        </w:tc>
        <w:tc>
          <w:tcPr>
            <w:tcW w:w="1701" w:type="dxa"/>
            <w:tcBorders>
              <w:top w:val="nil"/>
              <w:left w:val="nil"/>
              <w:bottom w:val="single" w:sz="4" w:space="0" w:color="7E8083"/>
              <w:right w:val="nil"/>
            </w:tcBorders>
            <w:shd w:val="clear" w:color="auto" w:fill="auto"/>
            <w:vAlign w:val="bottom"/>
            <w:hideMark/>
          </w:tcPr>
          <w:p w14:paraId="5D372AB6"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12 019</w:t>
            </w:r>
          </w:p>
        </w:tc>
      </w:tr>
      <w:tr w:rsidR="00B00ACA" w:rsidRPr="0022349C" w14:paraId="5A94C801" w14:textId="77777777" w:rsidTr="00C21F49">
        <w:trPr>
          <w:trHeight w:val="165"/>
        </w:trPr>
        <w:tc>
          <w:tcPr>
            <w:tcW w:w="5387" w:type="dxa"/>
            <w:tcBorders>
              <w:top w:val="nil"/>
              <w:left w:val="nil"/>
              <w:bottom w:val="nil"/>
              <w:right w:val="nil"/>
            </w:tcBorders>
            <w:shd w:val="clear" w:color="auto" w:fill="auto"/>
            <w:vAlign w:val="center"/>
            <w:hideMark/>
          </w:tcPr>
          <w:p w14:paraId="324B50A7"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p>
        </w:tc>
        <w:tc>
          <w:tcPr>
            <w:tcW w:w="1843" w:type="dxa"/>
            <w:tcBorders>
              <w:top w:val="nil"/>
              <w:left w:val="nil"/>
              <w:bottom w:val="nil"/>
              <w:right w:val="nil"/>
            </w:tcBorders>
            <w:shd w:val="clear" w:color="000000" w:fill="D7E1E1"/>
            <w:vAlign w:val="bottom"/>
            <w:hideMark/>
          </w:tcPr>
          <w:p w14:paraId="0E61EE6A"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w:t>
            </w:r>
          </w:p>
        </w:tc>
        <w:tc>
          <w:tcPr>
            <w:tcW w:w="1701" w:type="dxa"/>
            <w:tcBorders>
              <w:top w:val="nil"/>
              <w:left w:val="nil"/>
              <w:bottom w:val="nil"/>
              <w:right w:val="nil"/>
            </w:tcBorders>
            <w:shd w:val="clear" w:color="auto" w:fill="auto"/>
            <w:vAlign w:val="bottom"/>
            <w:hideMark/>
          </w:tcPr>
          <w:p w14:paraId="5E040085"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p>
        </w:tc>
      </w:tr>
      <w:tr w:rsidR="00B00ACA" w:rsidRPr="0022349C" w14:paraId="3C12209E" w14:textId="77777777" w:rsidTr="00C21F49">
        <w:trPr>
          <w:trHeight w:val="290"/>
        </w:trPr>
        <w:tc>
          <w:tcPr>
            <w:tcW w:w="5387" w:type="dxa"/>
            <w:tcBorders>
              <w:top w:val="nil"/>
              <w:left w:val="nil"/>
              <w:bottom w:val="single" w:sz="4" w:space="0" w:color="7E8083"/>
              <w:right w:val="nil"/>
            </w:tcBorders>
            <w:shd w:val="clear" w:color="auto" w:fill="auto"/>
            <w:vAlign w:val="center"/>
            <w:hideMark/>
          </w:tcPr>
          <w:p w14:paraId="18C9B877"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Impôt</w:t>
            </w:r>
            <w:proofErr w:type="spellEnd"/>
            <w:r w:rsidRPr="0022349C">
              <w:rPr>
                <w:rFonts w:ascii="Tahoma" w:eastAsia="Times New Roman" w:hAnsi="Tahoma" w:cs="Tahoma"/>
                <w:color w:val="231F20"/>
                <w:sz w:val="20"/>
                <w:szCs w:val="20"/>
                <w:lang w:eastAsia="fr-FR"/>
              </w:rPr>
              <w:t xml:space="preserve"> sur le </w:t>
            </w:r>
            <w:proofErr w:type="spellStart"/>
            <w:r w:rsidRPr="0022349C">
              <w:rPr>
                <w:rFonts w:ascii="Tahoma" w:eastAsia="Times New Roman" w:hAnsi="Tahoma" w:cs="Tahoma"/>
                <w:color w:val="231F20"/>
                <w:sz w:val="20"/>
                <w:szCs w:val="20"/>
                <w:lang w:eastAsia="fr-FR"/>
              </w:rPr>
              <w:t>résultat</w:t>
            </w:r>
            <w:proofErr w:type="spellEnd"/>
          </w:p>
        </w:tc>
        <w:tc>
          <w:tcPr>
            <w:tcW w:w="1843" w:type="dxa"/>
            <w:tcBorders>
              <w:top w:val="nil"/>
              <w:left w:val="nil"/>
              <w:bottom w:val="single" w:sz="4" w:space="0" w:color="7E8083"/>
              <w:right w:val="nil"/>
            </w:tcBorders>
            <w:shd w:val="clear" w:color="000000" w:fill="D7E1E1"/>
            <w:vAlign w:val="bottom"/>
            <w:hideMark/>
          </w:tcPr>
          <w:p w14:paraId="0DB66881"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-5 113</w:t>
            </w:r>
          </w:p>
        </w:tc>
        <w:tc>
          <w:tcPr>
            <w:tcW w:w="1701" w:type="dxa"/>
            <w:tcBorders>
              <w:top w:val="nil"/>
              <w:left w:val="nil"/>
              <w:bottom w:val="single" w:sz="4" w:space="0" w:color="7E8083"/>
              <w:right w:val="nil"/>
            </w:tcBorders>
            <w:shd w:val="clear" w:color="auto" w:fill="auto"/>
            <w:vAlign w:val="bottom"/>
            <w:hideMark/>
          </w:tcPr>
          <w:p w14:paraId="29D3C3FA"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-3 698</w:t>
            </w:r>
          </w:p>
        </w:tc>
      </w:tr>
      <w:tr w:rsidR="00B00ACA" w:rsidRPr="0022349C" w14:paraId="2BAC99FD" w14:textId="77777777" w:rsidTr="00C21F49">
        <w:trPr>
          <w:trHeight w:val="290"/>
        </w:trPr>
        <w:tc>
          <w:tcPr>
            <w:tcW w:w="5387" w:type="dxa"/>
            <w:tcBorders>
              <w:top w:val="nil"/>
              <w:left w:val="nil"/>
              <w:bottom w:val="single" w:sz="4" w:space="0" w:color="7E8083"/>
              <w:right w:val="nil"/>
            </w:tcBorders>
            <w:shd w:val="clear" w:color="auto" w:fill="auto"/>
            <w:vAlign w:val="center"/>
            <w:hideMark/>
          </w:tcPr>
          <w:p w14:paraId="1E7A1C3A" w14:textId="77777777" w:rsidR="00B00ACA" w:rsidRPr="00B00ACA" w:rsidRDefault="00B00ACA" w:rsidP="00C21F49">
            <w:pPr>
              <w:spacing w:after="0" w:line="240" w:lineRule="auto"/>
              <w:ind w:firstLineChars="100" w:firstLine="200"/>
              <w:rPr>
                <w:rFonts w:ascii="Tahoma" w:eastAsia="Times New Roman" w:hAnsi="Tahoma" w:cs="Tahoma"/>
                <w:color w:val="7A0000"/>
                <w:sz w:val="20"/>
                <w:szCs w:val="20"/>
                <w:lang w:val="fr-FR" w:eastAsia="fr-FR"/>
              </w:rPr>
            </w:pPr>
            <w:r w:rsidRPr="00B00ACA">
              <w:rPr>
                <w:rFonts w:ascii="Tahoma" w:eastAsia="Times New Roman" w:hAnsi="Tahoma" w:cs="Tahoma"/>
                <w:color w:val="7A0000"/>
                <w:sz w:val="20"/>
                <w:szCs w:val="20"/>
                <w:lang w:val="fr-FR" w:eastAsia="fr-FR"/>
              </w:rPr>
              <w:t>Résultat net des activités poursuivies</w:t>
            </w:r>
          </w:p>
        </w:tc>
        <w:tc>
          <w:tcPr>
            <w:tcW w:w="1843" w:type="dxa"/>
            <w:tcBorders>
              <w:top w:val="nil"/>
              <w:left w:val="nil"/>
              <w:bottom w:val="single" w:sz="4" w:space="0" w:color="7E8083"/>
              <w:right w:val="nil"/>
            </w:tcBorders>
            <w:shd w:val="clear" w:color="000000" w:fill="D7E1E1"/>
            <w:vAlign w:val="bottom"/>
            <w:hideMark/>
          </w:tcPr>
          <w:p w14:paraId="4D9993D8"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3 610</w:t>
            </w:r>
          </w:p>
        </w:tc>
        <w:tc>
          <w:tcPr>
            <w:tcW w:w="1701" w:type="dxa"/>
            <w:tcBorders>
              <w:top w:val="nil"/>
              <w:left w:val="nil"/>
              <w:bottom w:val="single" w:sz="4" w:space="0" w:color="7E8083"/>
              <w:right w:val="nil"/>
            </w:tcBorders>
            <w:shd w:val="clear" w:color="auto" w:fill="auto"/>
            <w:vAlign w:val="bottom"/>
            <w:hideMark/>
          </w:tcPr>
          <w:p w14:paraId="17C996D8"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8 321</w:t>
            </w:r>
          </w:p>
        </w:tc>
      </w:tr>
      <w:tr w:rsidR="00B00ACA" w:rsidRPr="0022349C" w14:paraId="5590ECB6" w14:textId="77777777" w:rsidTr="00C21F49">
        <w:trPr>
          <w:trHeight w:val="290"/>
        </w:trPr>
        <w:tc>
          <w:tcPr>
            <w:tcW w:w="5387" w:type="dxa"/>
            <w:tcBorders>
              <w:top w:val="nil"/>
              <w:left w:val="nil"/>
              <w:bottom w:val="single" w:sz="4" w:space="0" w:color="7E8083"/>
              <w:right w:val="nil"/>
            </w:tcBorders>
            <w:shd w:val="clear" w:color="auto" w:fill="auto"/>
            <w:vAlign w:val="center"/>
            <w:hideMark/>
          </w:tcPr>
          <w:p w14:paraId="179C3742" w14:textId="77777777" w:rsidR="00B00ACA" w:rsidRPr="00B00ACA" w:rsidRDefault="00B00ACA" w:rsidP="00C21F49">
            <w:pPr>
              <w:spacing w:after="0" w:line="240" w:lineRule="auto"/>
              <w:ind w:firstLineChars="100" w:firstLine="200"/>
              <w:rPr>
                <w:rFonts w:ascii="Tahoma" w:eastAsia="Times New Roman" w:hAnsi="Tahoma" w:cs="Tahoma"/>
                <w:color w:val="7A0000"/>
                <w:sz w:val="20"/>
                <w:szCs w:val="20"/>
                <w:lang w:val="fr-FR" w:eastAsia="fr-FR"/>
              </w:rPr>
            </w:pPr>
            <w:r w:rsidRPr="00B00ACA">
              <w:rPr>
                <w:rFonts w:ascii="Tahoma" w:eastAsia="Times New Roman" w:hAnsi="Tahoma" w:cs="Tahoma"/>
                <w:color w:val="7A0000"/>
                <w:sz w:val="20"/>
                <w:szCs w:val="20"/>
                <w:lang w:val="fr-FR" w:eastAsia="fr-FR"/>
              </w:rPr>
              <w:t>Résultat net des activités non poursuivies</w:t>
            </w:r>
          </w:p>
        </w:tc>
        <w:tc>
          <w:tcPr>
            <w:tcW w:w="1843" w:type="dxa"/>
            <w:tcBorders>
              <w:top w:val="nil"/>
              <w:left w:val="nil"/>
              <w:bottom w:val="single" w:sz="4" w:space="0" w:color="7E8083"/>
              <w:right w:val="nil"/>
            </w:tcBorders>
            <w:shd w:val="clear" w:color="000000" w:fill="D7E1E1"/>
            <w:vAlign w:val="bottom"/>
            <w:hideMark/>
          </w:tcPr>
          <w:p w14:paraId="5F00A93B"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-1 194</w:t>
            </w:r>
          </w:p>
        </w:tc>
        <w:tc>
          <w:tcPr>
            <w:tcW w:w="1701" w:type="dxa"/>
            <w:tcBorders>
              <w:top w:val="nil"/>
              <w:left w:val="nil"/>
              <w:bottom w:val="single" w:sz="4" w:space="0" w:color="7E8083"/>
              <w:right w:val="nil"/>
            </w:tcBorders>
            <w:shd w:val="clear" w:color="auto" w:fill="auto"/>
            <w:vAlign w:val="bottom"/>
            <w:hideMark/>
          </w:tcPr>
          <w:p w14:paraId="37691680"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-5 738</w:t>
            </w:r>
          </w:p>
        </w:tc>
      </w:tr>
      <w:tr w:rsidR="00B00ACA" w:rsidRPr="0022349C" w14:paraId="18C7C488" w14:textId="77777777" w:rsidTr="00C21F49">
        <w:trPr>
          <w:trHeight w:val="290"/>
        </w:trPr>
        <w:tc>
          <w:tcPr>
            <w:tcW w:w="5387" w:type="dxa"/>
            <w:tcBorders>
              <w:top w:val="nil"/>
              <w:left w:val="nil"/>
              <w:bottom w:val="single" w:sz="4" w:space="0" w:color="7E8083"/>
              <w:right w:val="nil"/>
            </w:tcBorders>
            <w:shd w:val="clear" w:color="auto" w:fill="auto"/>
            <w:vAlign w:val="center"/>
            <w:hideMark/>
          </w:tcPr>
          <w:p w14:paraId="33D5F582" w14:textId="77777777" w:rsidR="00B00ACA" w:rsidRPr="0022349C" w:rsidRDefault="00B00ACA" w:rsidP="00C21F49">
            <w:pPr>
              <w:spacing w:after="0" w:line="240" w:lineRule="auto"/>
              <w:ind w:firstLineChars="100" w:firstLine="200"/>
              <w:rPr>
                <w:rFonts w:ascii="Tahoma" w:eastAsia="Times New Roman" w:hAnsi="Tahoma" w:cs="Tahoma"/>
                <w:color w:val="7A0000"/>
                <w:sz w:val="20"/>
                <w:szCs w:val="20"/>
                <w:lang w:eastAsia="fr-FR"/>
              </w:rPr>
            </w:pPr>
            <w:proofErr w:type="spellStart"/>
            <w:r w:rsidRPr="0022349C">
              <w:rPr>
                <w:rFonts w:ascii="Tahoma" w:eastAsia="Times New Roman" w:hAnsi="Tahoma" w:cs="Tahoma"/>
                <w:color w:val="7A0000"/>
                <w:sz w:val="20"/>
                <w:szCs w:val="20"/>
                <w:lang w:eastAsia="fr-FR"/>
              </w:rPr>
              <w:t>Résultat</w:t>
            </w:r>
            <w:proofErr w:type="spellEnd"/>
            <w:r w:rsidRPr="0022349C">
              <w:rPr>
                <w:rFonts w:ascii="Tahoma" w:eastAsia="Times New Roman" w:hAnsi="Tahoma" w:cs="Tahoma"/>
                <w:color w:val="7A0000"/>
                <w:sz w:val="20"/>
                <w:szCs w:val="20"/>
                <w:lang w:eastAsia="fr-FR"/>
              </w:rPr>
              <w:t xml:space="preserve"> net</w:t>
            </w:r>
          </w:p>
        </w:tc>
        <w:tc>
          <w:tcPr>
            <w:tcW w:w="1843" w:type="dxa"/>
            <w:tcBorders>
              <w:top w:val="nil"/>
              <w:left w:val="nil"/>
              <w:bottom w:val="single" w:sz="4" w:space="0" w:color="7E8083"/>
              <w:right w:val="nil"/>
            </w:tcBorders>
            <w:shd w:val="clear" w:color="000000" w:fill="D7E1E1"/>
            <w:vAlign w:val="bottom"/>
            <w:hideMark/>
          </w:tcPr>
          <w:p w14:paraId="32384B94"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2 416</w:t>
            </w:r>
          </w:p>
        </w:tc>
        <w:tc>
          <w:tcPr>
            <w:tcW w:w="1701" w:type="dxa"/>
            <w:tcBorders>
              <w:top w:val="nil"/>
              <w:left w:val="nil"/>
              <w:bottom w:val="single" w:sz="4" w:space="0" w:color="7E8083"/>
              <w:right w:val="nil"/>
            </w:tcBorders>
            <w:shd w:val="clear" w:color="auto" w:fill="auto"/>
            <w:vAlign w:val="bottom"/>
            <w:hideMark/>
          </w:tcPr>
          <w:p w14:paraId="34B82DF4"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2 583</w:t>
            </w:r>
          </w:p>
        </w:tc>
      </w:tr>
      <w:tr w:rsidR="00B00ACA" w:rsidRPr="0022349C" w14:paraId="4CBD2A48" w14:textId="77777777" w:rsidTr="00C21F49">
        <w:trPr>
          <w:trHeight w:val="290"/>
        </w:trPr>
        <w:tc>
          <w:tcPr>
            <w:tcW w:w="5387" w:type="dxa"/>
            <w:tcBorders>
              <w:top w:val="nil"/>
              <w:left w:val="nil"/>
              <w:bottom w:val="single" w:sz="4" w:space="0" w:color="7E8083"/>
              <w:right w:val="nil"/>
            </w:tcBorders>
            <w:shd w:val="clear" w:color="auto" w:fill="auto"/>
            <w:vAlign w:val="center"/>
            <w:hideMark/>
          </w:tcPr>
          <w:p w14:paraId="42CB558C" w14:textId="77777777" w:rsidR="00B00ACA" w:rsidRPr="0022349C" w:rsidRDefault="00B00ACA" w:rsidP="00C21F49">
            <w:pPr>
              <w:spacing w:after="0" w:line="240" w:lineRule="auto"/>
              <w:ind w:firstLineChars="100" w:firstLine="160"/>
              <w:rPr>
                <w:rFonts w:ascii="Tahoma" w:eastAsia="Times New Roman" w:hAnsi="Tahoma" w:cs="Tahoma"/>
                <w:color w:val="231F20"/>
                <w:sz w:val="16"/>
                <w:szCs w:val="16"/>
                <w:lang w:eastAsia="fr-FR"/>
              </w:rPr>
            </w:pPr>
            <w:proofErr w:type="spellStart"/>
            <w:r w:rsidRPr="0022349C">
              <w:rPr>
                <w:rFonts w:ascii="Tahoma" w:eastAsia="Times New Roman" w:hAnsi="Tahoma" w:cs="Tahoma"/>
                <w:color w:val="231F20"/>
                <w:sz w:val="16"/>
                <w:szCs w:val="16"/>
                <w:lang w:eastAsia="fr-FR"/>
              </w:rPr>
              <w:t>Dont</w:t>
            </w:r>
            <w:proofErr w:type="spellEnd"/>
            <w:r w:rsidRPr="0022349C">
              <w:rPr>
                <w:rFonts w:ascii="Tahoma" w:eastAsia="Times New Roman" w:hAnsi="Tahoma" w:cs="Tahoma"/>
                <w:color w:val="231F20"/>
                <w:sz w:val="16"/>
                <w:szCs w:val="16"/>
                <w:lang w:eastAsia="fr-FR"/>
              </w:rPr>
              <w:t>:</w:t>
            </w:r>
          </w:p>
        </w:tc>
        <w:tc>
          <w:tcPr>
            <w:tcW w:w="1843" w:type="dxa"/>
            <w:tcBorders>
              <w:top w:val="nil"/>
              <w:left w:val="nil"/>
              <w:bottom w:val="single" w:sz="4" w:space="0" w:color="7E8083"/>
              <w:right w:val="nil"/>
            </w:tcBorders>
            <w:shd w:val="clear" w:color="000000" w:fill="D7E1E1"/>
            <w:vAlign w:val="bottom"/>
            <w:hideMark/>
          </w:tcPr>
          <w:p w14:paraId="0D9DA1EC" w14:textId="77777777" w:rsidR="00B00ACA" w:rsidRPr="0022349C" w:rsidRDefault="00B00ACA" w:rsidP="00C21F49">
            <w:pPr>
              <w:spacing w:after="0" w:line="240" w:lineRule="auto"/>
              <w:ind w:firstLineChars="100" w:firstLine="160"/>
              <w:jc w:val="right"/>
              <w:rPr>
                <w:rFonts w:ascii="Tahoma" w:eastAsia="Times New Roman" w:hAnsi="Tahoma" w:cs="Tahoma"/>
                <w:color w:val="231F20"/>
                <w:sz w:val="16"/>
                <w:szCs w:val="16"/>
                <w:lang w:eastAsia="fr-FR"/>
              </w:rPr>
            </w:pPr>
            <w:r w:rsidRPr="0022349C">
              <w:rPr>
                <w:rFonts w:ascii="Tahoma" w:eastAsia="Times New Roman" w:hAnsi="Tahoma" w:cs="Tahoma"/>
                <w:color w:val="231F20"/>
                <w:sz w:val="16"/>
                <w:szCs w:val="16"/>
                <w:lang w:eastAsia="fr-FR"/>
              </w:rPr>
              <w:t> </w:t>
            </w:r>
          </w:p>
        </w:tc>
        <w:tc>
          <w:tcPr>
            <w:tcW w:w="1701" w:type="dxa"/>
            <w:tcBorders>
              <w:top w:val="nil"/>
              <w:left w:val="nil"/>
              <w:bottom w:val="single" w:sz="4" w:space="0" w:color="7E8083"/>
              <w:right w:val="nil"/>
            </w:tcBorders>
            <w:shd w:val="clear" w:color="auto" w:fill="auto"/>
            <w:vAlign w:val="bottom"/>
            <w:hideMark/>
          </w:tcPr>
          <w:p w14:paraId="735987D7" w14:textId="77777777" w:rsidR="00B00ACA" w:rsidRPr="0022349C" w:rsidRDefault="00B00ACA" w:rsidP="00C21F49">
            <w:pPr>
              <w:spacing w:after="0" w:line="240" w:lineRule="auto"/>
              <w:ind w:firstLineChars="100" w:firstLine="160"/>
              <w:jc w:val="right"/>
              <w:rPr>
                <w:rFonts w:ascii="Tahoma" w:eastAsia="Times New Roman" w:hAnsi="Tahoma" w:cs="Tahoma"/>
                <w:color w:val="231F20"/>
                <w:sz w:val="16"/>
                <w:szCs w:val="16"/>
                <w:lang w:eastAsia="fr-FR"/>
              </w:rPr>
            </w:pPr>
            <w:r w:rsidRPr="0022349C">
              <w:rPr>
                <w:rFonts w:ascii="Tahoma" w:eastAsia="Times New Roman" w:hAnsi="Tahoma" w:cs="Tahoma"/>
                <w:color w:val="231F20"/>
                <w:sz w:val="16"/>
                <w:szCs w:val="16"/>
                <w:lang w:eastAsia="fr-FR"/>
              </w:rPr>
              <w:t> </w:t>
            </w:r>
          </w:p>
        </w:tc>
      </w:tr>
      <w:tr w:rsidR="00B00ACA" w:rsidRPr="0022349C" w14:paraId="43C05E27" w14:textId="77777777" w:rsidTr="00C21F49">
        <w:trPr>
          <w:trHeight w:val="290"/>
        </w:trPr>
        <w:tc>
          <w:tcPr>
            <w:tcW w:w="5387" w:type="dxa"/>
            <w:tcBorders>
              <w:top w:val="nil"/>
              <w:left w:val="nil"/>
              <w:bottom w:val="single" w:sz="4" w:space="0" w:color="7E8083"/>
              <w:right w:val="nil"/>
            </w:tcBorders>
            <w:shd w:val="clear" w:color="auto" w:fill="auto"/>
            <w:vAlign w:val="center"/>
            <w:hideMark/>
          </w:tcPr>
          <w:p w14:paraId="100BEAA5" w14:textId="77777777" w:rsidR="00B00ACA" w:rsidRPr="00B00ACA" w:rsidRDefault="00B00ACA" w:rsidP="00C21F49">
            <w:pPr>
              <w:spacing w:after="0" w:line="240" w:lineRule="auto"/>
              <w:ind w:firstLineChars="100" w:firstLine="160"/>
              <w:rPr>
                <w:rFonts w:ascii="Tahoma" w:eastAsia="Times New Roman" w:hAnsi="Tahoma" w:cs="Tahoma"/>
                <w:color w:val="231F20"/>
                <w:sz w:val="16"/>
                <w:szCs w:val="16"/>
                <w:lang w:val="fr-FR" w:eastAsia="fr-FR"/>
              </w:rPr>
            </w:pPr>
            <w:r w:rsidRPr="00B00ACA">
              <w:rPr>
                <w:rFonts w:ascii="Tahoma" w:eastAsia="Times New Roman" w:hAnsi="Tahoma" w:cs="Tahoma"/>
                <w:color w:val="231F20"/>
                <w:sz w:val="16"/>
                <w:szCs w:val="16"/>
                <w:lang w:val="fr-FR" w:eastAsia="fr-FR"/>
              </w:rPr>
              <w:t>- Part des propriétaires de la Société</w:t>
            </w:r>
          </w:p>
        </w:tc>
        <w:tc>
          <w:tcPr>
            <w:tcW w:w="1843" w:type="dxa"/>
            <w:tcBorders>
              <w:top w:val="nil"/>
              <w:left w:val="nil"/>
              <w:bottom w:val="single" w:sz="4" w:space="0" w:color="7E8083"/>
              <w:right w:val="nil"/>
            </w:tcBorders>
            <w:shd w:val="clear" w:color="000000" w:fill="D7E1E1"/>
            <w:vAlign w:val="bottom"/>
            <w:hideMark/>
          </w:tcPr>
          <w:p w14:paraId="3435714B" w14:textId="77777777" w:rsidR="00B00ACA" w:rsidRPr="0022349C" w:rsidRDefault="00B00ACA" w:rsidP="00C21F49">
            <w:pPr>
              <w:spacing w:after="0" w:line="240" w:lineRule="auto"/>
              <w:ind w:firstLineChars="100" w:firstLine="160"/>
              <w:jc w:val="right"/>
              <w:rPr>
                <w:rFonts w:ascii="Tahoma" w:eastAsia="Times New Roman" w:hAnsi="Tahoma" w:cs="Tahoma"/>
                <w:color w:val="231F20"/>
                <w:sz w:val="16"/>
                <w:szCs w:val="16"/>
                <w:lang w:eastAsia="fr-FR"/>
              </w:rPr>
            </w:pPr>
            <w:r w:rsidRPr="0022349C">
              <w:rPr>
                <w:rFonts w:ascii="Tahoma" w:eastAsia="Times New Roman" w:hAnsi="Tahoma" w:cs="Tahoma"/>
                <w:color w:val="231F20"/>
                <w:sz w:val="16"/>
                <w:szCs w:val="16"/>
                <w:lang w:eastAsia="fr-FR"/>
              </w:rPr>
              <w:t>-1 993</w:t>
            </w:r>
          </w:p>
        </w:tc>
        <w:tc>
          <w:tcPr>
            <w:tcW w:w="1701" w:type="dxa"/>
            <w:tcBorders>
              <w:top w:val="nil"/>
              <w:left w:val="nil"/>
              <w:bottom w:val="single" w:sz="4" w:space="0" w:color="7E8083"/>
              <w:right w:val="nil"/>
            </w:tcBorders>
            <w:shd w:val="clear" w:color="auto" w:fill="auto"/>
            <w:vAlign w:val="bottom"/>
            <w:hideMark/>
          </w:tcPr>
          <w:p w14:paraId="01480A50" w14:textId="77777777" w:rsidR="00B00ACA" w:rsidRPr="0022349C" w:rsidRDefault="00B00ACA" w:rsidP="00C21F49">
            <w:pPr>
              <w:spacing w:after="0" w:line="240" w:lineRule="auto"/>
              <w:ind w:firstLineChars="100" w:firstLine="160"/>
              <w:jc w:val="right"/>
              <w:rPr>
                <w:rFonts w:ascii="Tahoma" w:eastAsia="Times New Roman" w:hAnsi="Tahoma" w:cs="Tahoma"/>
                <w:color w:val="231F20"/>
                <w:sz w:val="16"/>
                <w:szCs w:val="16"/>
                <w:lang w:eastAsia="fr-FR"/>
              </w:rPr>
            </w:pPr>
            <w:r w:rsidRPr="0022349C">
              <w:rPr>
                <w:rFonts w:ascii="Tahoma" w:eastAsia="Times New Roman" w:hAnsi="Tahoma" w:cs="Tahoma"/>
                <w:color w:val="231F20"/>
                <w:sz w:val="16"/>
                <w:szCs w:val="16"/>
                <w:lang w:eastAsia="fr-FR"/>
              </w:rPr>
              <w:t>3 212</w:t>
            </w:r>
          </w:p>
        </w:tc>
      </w:tr>
      <w:tr w:rsidR="00B00ACA" w:rsidRPr="0022349C" w14:paraId="4344E6D4" w14:textId="77777777" w:rsidTr="00C21F49">
        <w:trPr>
          <w:trHeight w:val="290"/>
        </w:trPr>
        <w:tc>
          <w:tcPr>
            <w:tcW w:w="5387" w:type="dxa"/>
            <w:tcBorders>
              <w:top w:val="nil"/>
              <w:left w:val="nil"/>
              <w:bottom w:val="single" w:sz="4" w:space="0" w:color="7E8083"/>
              <w:right w:val="nil"/>
            </w:tcBorders>
            <w:shd w:val="clear" w:color="auto" w:fill="auto"/>
            <w:vAlign w:val="center"/>
            <w:hideMark/>
          </w:tcPr>
          <w:p w14:paraId="45E8D5C3" w14:textId="77777777" w:rsidR="00B00ACA" w:rsidRPr="00B00ACA" w:rsidRDefault="00B00ACA" w:rsidP="00C21F49">
            <w:pPr>
              <w:spacing w:after="0" w:line="240" w:lineRule="auto"/>
              <w:ind w:firstLineChars="100" w:firstLine="160"/>
              <w:rPr>
                <w:rFonts w:ascii="Tahoma" w:eastAsia="Times New Roman" w:hAnsi="Tahoma" w:cs="Tahoma"/>
                <w:sz w:val="16"/>
                <w:szCs w:val="16"/>
                <w:lang w:val="fr-FR" w:eastAsia="fr-FR"/>
              </w:rPr>
            </w:pPr>
            <w:r w:rsidRPr="00B00ACA">
              <w:rPr>
                <w:rFonts w:ascii="Tahoma" w:eastAsia="Times New Roman" w:hAnsi="Tahoma" w:cs="Tahoma"/>
                <w:sz w:val="16"/>
                <w:szCs w:val="16"/>
                <w:lang w:val="fr-FR" w:eastAsia="fr-FR"/>
              </w:rPr>
              <w:t>- Part des participations ne donnant pas le contrôle</w:t>
            </w:r>
          </w:p>
        </w:tc>
        <w:tc>
          <w:tcPr>
            <w:tcW w:w="1843" w:type="dxa"/>
            <w:tcBorders>
              <w:top w:val="nil"/>
              <w:left w:val="nil"/>
              <w:bottom w:val="single" w:sz="4" w:space="0" w:color="7E8083"/>
              <w:right w:val="nil"/>
            </w:tcBorders>
            <w:shd w:val="clear" w:color="000000" w:fill="D7E1E1"/>
            <w:vAlign w:val="bottom"/>
            <w:hideMark/>
          </w:tcPr>
          <w:p w14:paraId="105D65BF" w14:textId="77777777" w:rsidR="00B00ACA" w:rsidRPr="0022349C" w:rsidRDefault="00B00ACA" w:rsidP="00C21F49">
            <w:pPr>
              <w:spacing w:after="0" w:line="240" w:lineRule="auto"/>
              <w:ind w:firstLineChars="100" w:firstLine="160"/>
              <w:jc w:val="right"/>
              <w:rPr>
                <w:rFonts w:ascii="Tahoma" w:eastAsia="Times New Roman" w:hAnsi="Tahoma" w:cs="Tahoma"/>
                <w:color w:val="231F20"/>
                <w:sz w:val="16"/>
                <w:szCs w:val="16"/>
                <w:lang w:eastAsia="fr-FR"/>
              </w:rPr>
            </w:pPr>
            <w:r w:rsidRPr="0022349C">
              <w:rPr>
                <w:rFonts w:ascii="Tahoma" w:eastAsia="Times New Roman" w:hAnsi="Tahoma" w:cs="Tahoma"/>
                <w:color w:val="231F20"/>
                <w:sz w:val="16"/>
                <w:szCs w:val="16"/>
                <w:lang w:eastAsia="fr-FR"/>
              </w:rPr>
              <w:t>4 409</w:t>
            </w:r>
          </w:p>
        </w:tc>
        <w:tc>
          <w:tcPr>
            <w:tcW w:w="1701" w:type="dxa"/>
            <w:tcBorders>
              <w:top w:val="nil"/>
              <w:left w:val="nil"/>
              <w:bottom w:val="single" w:sz="4" w:space="0" w:color="7E8083"/>
              <w:right w:val="nil"/>
            </w:tcBorders>
            <w:shd w:val="clear" w:color="auto" w:fill="auto"/>
            <w:vAlign w:val="bottom"/>
            <w:hideMark/>
          </w:tcPr>
          <w:p w14:paraId="6A1503EF" w14:textId="77777777" w:rsidR="00B00ACA" w:rsidRPr="0022349C" w:rsidRDefault="00B00ACA" w:rsidP="00C21F49">
            <w:pPr>
              <w:spacing w:after="0" w:line="240" w:lineRule="auto"/>
              <w:ind w:firstLineChars="100" w:firstLine="160"/>
              <w:jc w:val="right"/>
              <w:rPr>
                <w:rFonts w:ascii="Tahoma" w:eastAsia="Times New Roman" w:hAnsi="Tahoma" w:cs="Tahoma"/>
                <w:color w:val="231F20"/>
                <w:sz w:val="16"/>
                <w:szCs w:val="16"/>
                <w:lang w:eastAsia="fr-FR"/>
              </w:rPr>
            </w:pPr>
            <w:r w:rsidRPr="0022349C">
              <w:rPr>
                <w:rFonts w:ascii="Tahoma" w:eastAsia="Times New Roman" w:hAnsi="Tahoma" w:cs="Tahoma"/>
                <w:color w:val="231F20"/>
                <w:sz w:val="16"/>
                <w:szCs w:val="16"/>
                <w:lang w:eastAsia="fr-FR"/>
              </w:rPr>
              <w:t>-629</w:t>
            </w:r>
          </w:p>
        </w:tc>
      </w:tr>
      <w:tr w:rsidR="00B00ACA" w:rsidRPr="0022349C" w14:paraId="07431783" w14:textId="77777777" w:rsidTr="00C21F49">
        <w:trPr>
          <w:trHeight w:val="180"/>
        </w:trPr>
        <w:tc>
          <w:tcPr>
            <w:tcW w:w="5387" w:type="dxa"/>
            <w:tcBorders>
              <w:top w:val="nil"/>
              <w:left w:val="nil"/>
              <w:bottom w:val="single" w:sz="8" w:space="0" w:color="7E8083"/>
              <w:right w:val="nil"/>
            </w:tcBorders>
            <w:shd w:val="clear" w:color="auto" w:fill="auto"/>
            <w:vAlign w:val="center"/>
            <w:hideMark/>
          </w:tcPr>
          <w:p w14:paraId="45582849" w14:textId="77777777" w:rsidR="00B00ACA" w:rsidRPr="0022349C" w:rsidRDefault="00B00ACA" w:rsidP="00C21F49">
            <w:pPr>
              <w:spacing w:after="0" w:line="240" w:lineRule="auto"/>
              <w:ind w:firstLineChars="100" w:firstLine="200"/>
              <w:rPr>
                <w:rFonts w:ascii="Tahoma" w:eastAsia="Times New Roman" w:hAnsi="Tahoma" w:cs="Tahoma"/>
                <w:color w:val="000000"/>
                <w:sz w:val="20"/>
                <w:szCs w:val="20"/>
                <w:lang w:eastAsia="fr-FR"/>
              </w:rPr>
            </w:pPr>
            <w:r w:rsidRPr="0022349C">
              <w:rPr>
                <w:rFonts w:ascii="Tahoma" w:eastAsia="Times New Roman" w:hAnsi="Tahoma" w:cs="Tahoma"/>
                <w:color w:val="000000"/>
                <w:sz w:val="20"/>
                <w:szCs w:val="20"/>
                <w:lang w:eastAsia="fr-FR"/>
              </w:rPr>
              <w:t> </w:t>
            </w:r>
          </w:p>
        </w:tc>
        <w:tc>
          <w:tcPr>
            <w:tcW w:w="1843" w:type="dxa"/>
            <w:tcBorders>
              <w:top w:val="nil"/>
              <w:left w:val="nil"/>
              <w:bottom w:val="single" w:sz="8" w:space="0" w:color="7E8083"/>
              <w:right w:val="nil"/>
            </w:tcBorders>
            <w:shd w:val="clear" w:color="auto" w:fill="auto"/>
            <w:vAlign w:val="bottom"/>
            <w:hideMark/>
          </w:tcPr>
          <w:p w14:paraId="620E471E" w14:textId="77777777" w:rsidR="00B00ACA" w:rsidRPr="0022349C" w:rsidRDefault="00B00ACA" w:rsidP="00C21F49">
            <w:pPr>
              <w:spacing w:after="0" w:line="240" w:lineRule="auto"/>
              <w:ind w:firstLineChars="100" w:firstLine="200"/>
              <w:jc w:val="right"/>
              <w:rPr>
                <w:rFonts w:ascii="Tahoma" w:eastAsia="Times New Roman" w:hAnsi="Tahoma" w:cs="Tahoma"/>
                <w:color w:val="000000"/>
                <w:sz w:val="20"/>
                <w:szCs w:val="20"/>
                <w:lang w:eastAsia="fr-FR"/>
              </w:rPr>
            </w:pPr>
            <w:r w:rsidRPr="0022349C">
              <w:rPr>
                <w:rFonts w:ascii="Tahoma" w:eastAsia="Times New Roman" w:hAnsi="Tahoma" w:cs="Tahoma"/>
                <w:color w:val="000000"/>
                <w:sz w:val="20"/>
                <w:szCs w:val="20"/>
                <w:lang w:eastAsia="fr-FR"/>
              </w:rPr>
              <w:t> </w:t>
            </w:r>
          </w:p>
        </w:tc>
        <w:tc>
          <w:tcPr>
            <w:tcW w:w="1701" w:type="dxa"/>
            <w:tcBorders>
              <w:top w:val="nil"/>
              <w:left w:val="nil"/>
              <w:bottom w:val="single" w:sz="8" w:space="0" w:color="7E8083"/>
              <w:right w:val="nil"/>
            </w:tcBorders>
            <w:shd w:val="clear" w:color="auto" w:fill="auto"/>
            <w:vAlign w:val="bottom"/>
            <w:hideMark/>
          </w:tcPr>
          <w:p w14:paraId="58CB387E" w14:textId="77777777" w:rsidR="00B00ACA" w:rsidRPr="0022349C" w:rsidRDefault="00B00ACA" w:rsidP="00C21F49">
            <w:pPr>
              <w:spacing w:after="0" w:line="240" w:lineRule="auto"/>
              <w:ind w:firstLineChars="100" w:firstLine="200"/>
              <w:jc w:val="right"/>
              <w:rPr>
                <w:rFonts w:ascii="Tahoma" w:eastAsia="Times New Roman" w:hAnsi="Tahoma" w:cs="Tahoma"/>
                <w:color w:val="000000"/>
                <w:sz w:val="20"/>
                <w:szCs w:val="20"/>
                <w:lang w:eastAsia="fr-FR"/>
              </w:rPr>
            </w:pPr>
            <w:r w:rsidRPr="0022349C">
              <w:rPr>
                <w:rFonts w:ascii="Tahoma" w:eastAsia="Times New Roman" w:hAnsi="Tahoma" w:cs="Tahoma"/>
                <w:color w:val="000000"/>
                <w:sz w:val="20"/>
                <w:szCs w:val="20"/>
                <w:lang w:eastAsia="fr-FR"/>
              </w:rPr>
              <w:t> </w:t>
            </w:r>
          </w:p>
        </w:tc>
      </w:tr>
      <w:tr w:rsidR="00B00ACA" w:rsidRPr="0022349C" w14:paraId="3F58007D" w14:textId="77777777" w:rsidTr="00C21F49">
        <w:trPr>
          <w:trHeight w:val="500"/>
        </w:trPr>
        <w:tc>
          <w:tcPr>
            <w:tcW w:w="5387" w:type="dxa"/>
            <w:tcBorders>
              <w:top w:val="nil"/>
              <w:left w:val="nil"/>
              <w:bottom w:val="single" w:sz="4" w:space="0" w:color="7E8083"/>
              <w:right w:val="nil"/>
            </w:tcBorders>
            <w:shd w:val="clear" w:color="auto" w:fill="auto"/>
            <w:vAlign w:val="center"/>
            <w:hideMark/>
          </w:tcPr>
          <w:p w14:paraId="33E9B8FC"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Résultat net attribuable aux propriétaires de la</w:t>
            </w:r>
          </w:p>
          <w:p w14:paraId="286A5E76"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société </w:t>
            </w:r>
            <w:proofErr w:type="spellStart"/>
            <w:r w:rsidRPr="0022349C">
              <w:rPr>
                <w:rFonts w:ascii="Tahoma" w:eastAsia="Times New Roman" w:hAnsi="Tahoma" w:cs="Tahoma"/>
                <w:color w:val="231F20"/>
                <w:sz w:val="20"/>
                <w:szCs w:val="20"/>
                <w:lang w:eastAsia="fr-FR"/>
              </w:rPr>
              <w:t>mère</w:t>
            </w:r>
            <w:proofErr w:type="spellEnd"/>
            <w:r w:rsidRPr="0022349C">
              <w:rPr>
                <w:rFonts w:ascii="Tahoma" w:eastAsia="Times New Roman" w:hAnsi="Tahoma" w:cs="Tahoma"/>
                <w:color w:val="231F20"/>
                <w:sz w:val="20"/>
                <w:szCs w:val="20"/>
                <w:lang w:eastAsia="fr-FR"/>
              </w:rPr>
              <w:t xml:space="preserve"> par action</w:t>
            </w:r>
          </w:p>
        </w:tc>
        <w:tc>
          <w:tcPr>
            <w:tcW w:w="1843" w:type="dxa"/>
            <w:tcBorders>
              <w:top w:val="nil"/>
              <w:left w:val="nil"/>
              <w:bottom w:val="single" w:sz="4" w:space="0" w:color="7E8083"/>
              <w:right w:val="nil"/>
            </w:tcBorders>
            <w:shd w:val="clear" w:color="000000" w:fill="D7E1E1"/>
            <w:vAlign w:val="bottom"/>
            <w:hideMark/>
          </w:tcPr>
          <w:p w14:paraId="13B69037"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w:t>
            </w:r>
          </w:p>
        </w:tc>
        <w:tc>
          <w:tcPr>
            <w:tcW w:w="1701" w:type="dxa"/>
            <w:tcBorders>
              <w:top w:val="nil"/>
              <w:left w:val="nil"/>
              <w:bottom w:val="single" w:sz="4" w:space="0" w:color="7E8083"/>
              <w:right w:val="nil"/>
            </w:tcBorders>
            <w:shd w:val="clear" w:color="auto" w:fill="auto"/>
            <w:vAlign w:val="bottom"/>
            <w:hideMark/>
          </w:tcPr>
          <w:p w14:paraId="5DC73C0F"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w:t>
            </w:r>
          </w:p>
        </w:tc>
      </w:tr>
      <w:tr w:rsidR="00B00ACA" w:rsidRPr="0022349C" w14:paraId="58A8A90E" w14:textId="77777777" w:rsidTr="00C21F49">
        <w:trPr>
          <w:trHeight w:val="290"/>
        </w:trPr>
        <w:tc>
          <w:tcPr>
            <w:tcW w:w="5387" w:type="dxa"/>
            <w:tcBorders>
              <w:top w:val="nil"/>
              <w:left w:val="nil"/>
              <w:bottom w:val="single" w:sz="4" w:space="0" w:color="7E8083"/>
              <w:right w:val="nil"/>
            </w:tcBorders>
            <w:shd w:val="clear" w:color="auto" w:fill="auto"/>
            <w:vAlign w:val="center"/>
            <w:hideMark/>
          </w:tcPr>
          <w:p w14:paraId="2E178A9C"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Non </w:t>
            </w:r>
            <w:proofErr w:type="spellStart"/>
            <w:r w:rsidRPr="0022349C">
              <w:rPr>
                <w:rFonts w:ascii="Tahoma" w:eastAsia="Times New Roman" w:hAnsi="Tahoma" w:cs="Tahoma"/>
                <w:color w:val="231F20"/>
                <w:sz w:val="20"/>
                <w:szCs w:val="20"/>
                <w:lang w:eastAsia="fr-FR"/>
              </w:rPr>
              <w:t>dilué</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en</w:t>
            </w:r>
            <w:proofErr w:type="spellEnd"/>
            <w:r w:rsidRPr="0022349C">
              <w:rPr>
                <w:rFonts w:ascii="Tahoma" w:eastAsia="Times New Roman" w:hAnsi="Tahoma" w:cs="Tahoma"/>
                <w:color w:val="231F20"/>
                <w:sz w:val="20"/>
                <w:szCs w:val="20"/>
                <w:lang w:eastAsia="fr-FR"/>
              </w:rPr>
              <w:t xml:space="preserve"> euros) (*)</w:t>
            </w:r>
          </w:p>
        </w:tc>
        <w:tc>
          <w:tcPr>
            <w:tcW w:w="1843" w:type="dxa"/>
            <w:tcBorders>
              <w:top w:val="nil"/>
              <w:left w:val="nil"/>
              <w:bottom w:val="single" w:sz="4" w:space="0" w:color="7E8083"/>
              <w:right w:val="nil"/>
            </w:tcBorders>
            <w:shd w:val="clear" w:color="000000" w:fill="D7E1E1"/>
            <w:vAlign w:val="bottom"/>
            <w:hideMark/>
          </w:tcPr>
          <w:p w14:paraId="582D5C49"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-0,27</w:t>
            </w:r>
          </w:p>
        </w:tc>
        <w:tc>
          <w:tcPr>
            <w:tcW w:w="1701" w:type="dxa"/>
            <w:tcBorders>
              <w:top w:val="nil"/>
              <w:left w:val="nil"/>
              <w:bottom w:val="single" w:sz="4" w:space="0" w:color="7E8083"/>
              <w:right w:val="nil"/>
            </w:tcBorders>
            <w:shd w:val="clear" w:color="auto" w:fill="auto"/>
            <w:vAlign w:val="bottom"/>
            <w:hideMark/>
          </w:tcPr>
          <w:p w14:paraId="5F3A3FA6"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0,44</w:t>
            </w:r>
          </w:p>
        </w:tc>
      </w:tr>
      <w:tr w:rsidR="00B00ACA" w:rsidRPr="0022349C" w14:paraId="263C4094" w14:textId="77777777" w:rsidTr="00C21F49">
        <w:trPr>
          <w:trHeight w:val="300"/>
        </w:trPr>
        <w:tc>
          <w:tcPr>
            <w:tcW w:w="5387" w:type="dxa"/>
            <w:tcBorders>
              <w:top w:val="nil"/>
              <w:left w:val="nil"/>
              <w:bottom w:val="single" w:sz="8" w:space="0" w:color="7E8083"/>
              <w:right w:val="nil"/>
            </w:tcBorders>
            <w:shd w:val="clear" w:color="auto" w:fill="auto"/>
            <w:vAlign w:val="center"/>
            <w:hideMark/>
          </w:tcPr>
          <w:p w14:paraId="596A718D"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Dilué</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en</w:t>
            </w:r>
            <w:proofErr w:type="spellEnd"/>
            <w:r w:rsidRPr="0022349C">
              <w:rPr>
                <w:rFonts w:ascii="Tahoma" w:eastAsia="Times New Roman" w:hAnsi="Tahoma" w:cs="Tahoma"/>
                <w:color w:val="231F20"/>
                <w:sz w:val="20"/>
                <w:szCs w:val="20"/>
                <w:lang w:eastAsia="fr-FR"/>
              </w:rPr>
              <w:t xml:space="preserve"> euros) (**)</w:t>
            </w:r>
          </w:p>
        </w:tc>
        <w:tc>
          <w:tcPr>
            <w:tcW w:w="1843" w:type="dxa"/>
            <w:tcBorders>
              <w:top w:val="nil"/>
              <w:left w:val="nil"/>
              <w:bottom w:val="single" w:sz="8" w:space="0" w:color="7E8083"/>
              <w:right w:val="nil"/>
            </w:tcBorders>
            <w:shd w:val="clear" w:color="000000" w:fill="D7E1E1"/>
            <w:vAlign w:val="bottom"/>
            <w:hideMark/>
          </w:tcPr>
          <w:p w14:paraId="6393048A"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-0,25</w:t>
            </w:r>
          </w:p>
        </w:tc>
        <w:tc>
          <w:tcPr>
            <w:tcW w:w="1701" w:type="dxa"/>
            <w:tcBorders>
              <w:top w:val="nil"/>
              <w:left w:val="nil"/>
              <w:bottom w:val="single" w:sz="8" w:space="0" w:color="7E8083"/>
              <w:right w:val="nil"/>
            </w:tcBorders>
            <w:shd w:val="clear" w:color="auto" w:fill="auto"/>
            <w:vAlign w:val="bottom"/>
            <w:hideMark/>
          </w:tcPr>
          <w:p w14:paraId="1A220591"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0,44</w:t>
            </w:r>
          </w:p>
        </w:tc>
      </w:tr>
      <w:tr w:rsidR="00B00ACA" w:rsidRPr="0022349C" w14:paraId="333C8A8D" w14:textId="77777777" w:rsidTr="00C21F49">
        <w:trPr>
          <w:trHeight w:val="180"/>
        </w:trPr>
        <w:tc>
          <w:tcPr>
            <w:tcW w:w="5387" w:type="dxa"/>
            <w:tcBorders>
              <w:top w:val="nil"/>
              <w:left w:val="nil"/>
              <w:bottom w:val="single" w:sz="8" w:space="0" w:color="7E8083"/>
              <w:right w:val="nil"/>
            </w:tcBorders>
            <w:shd w:val="clear" w:color="auto" w:fill="auto"/>
            <w:vAlign w:val="center"/>
            <w:hideMark/>
          </w:tcPr>
          <w:p w14:paraId="70862A61" w14:textId="77777777" w:rsidR="00B00ACA" w:rsidRPr="0022349C" w:rsidRDefault="00B00ACA" w:rsidP="00C21F49">
            <w:pPr>
              <w:spacing w:after="0" w:line="240" w:lineRule="auto"/>
              <w:rPr>
                <w:rFonts w:ascii="Tahoma" w:eastAsia="Times New Roman" w:hAnsi="Tahoma" w:cs="Tahoma"/>
                <w:color w:val="000000"/>
                <w:sz w:val="20"/>
                <w:szCs w:val="20"/>
                <w:lang w:eastAsia="fr-FR"/>
              </w:rPr>
            </w:pPr>
            <w:r w:rsidRPr="0022349C">
              <w:rPr>
                <w:rFonts w:ascii="Tahoma" w:eastAsia="Times New Roman" w:hAnsi="Tahoma" w:cs="Tahoma"/>
                <w:color w:val="000000"/>
                <w:sz w:val="20"/>
                <w:szCs w:val="20"/>
                <w:lang w:eastAsia="fr-FR"/>
              </w:rPr>
              <w:t> </w:t>
            </w:r>
          </w:p>
        </w:tc>
        <w:tc>
          <w:tcPr>
            <w:tcW w:w="1843" w:type="dxa"/>
            <w:tcBorders>
              <w:top w:val="nil"/>
              <w:left w:val="nil"/>
              <w:bottom w:val="single" w:sz="8" w:space="0" w:color="7E8083"/>
              <w:right w:val="nil"/>
            </w:tcBorders>
            <w:shd w:val="clear" w:color="auto" w:fill="auto"/>
            <w:vAlign w:val="bottom"/>
            <w:hideMark/>
          </w:tcPr>
          <w:p w14:paraId="6614C96A" w14:textId="77777777" w:rsidR="00B00ACA" w:rsidRPr="0022349C" w:rsidRDefault="00B00ACA" w:rsidP="00C21F49">
            <w:pPr>
              <w:spacing w:after="0" w:line="240" w:lineRule="auto"/>
              <w:ind w:firstLineChars="100" w:firstLine="200"/>
              <w:jc w:val="right"/>
              <w:rPr>
                <w:rFonts w:ascii="Tahoma" w:eastAsia="Times New Roman" w:hAnsi="Tahoma" w:cs="Tahoma"/>
                <w:color w:val="000000"/>
                <w:sz w:val="20"/>
                <w:szCs w:val="20"/>
                <w:lang w:eastAsia="fr-FR"/>
              </w:rPr>
            </w:pPr>
            <w:r w:rsidRPr="0022349C">
              <w:rPr>
                <w:rFonts w:ascii="Tahoma" w:eastAsia="Times New Roman" w:hAnsi="Tahoma" w:cs="Tahoma"/>
                <w:color w:val="000000"/>
                <w:sz w:val="20"/>
                <w:szCs w:val="20"/>
                <w:lang w:eastAsia="fr-FR"/>
              </w:rPr>
              <w:t> </w:t>
            </w:r>
          </w:p>
        </w:tc>
        <w:tc>
          <w:tcPr>
            <w:tcW w:w="1701" w:type="dxa"/>
            <w:tcBorders>
              <w:top w:val="nil"/>
              <w:left w:val="nil"/>
              <w:bottom w:val="single" w:sz="8" w:space="0" w:color="7E8083"/>
              <w:right w:val="nil"/>
            </w:tcBorders>
            <w:shd w:val="clear" w:color="auto" w:fill="auto"/>
            <w:vAlign w:val="bottom"/>
            <w:hideMark/>
          </w:tcPr>
          <w:p w14:paraId="467FE337" w14:textId="77777777" w:rsidR="00B00ACA" w:rsidRPr="0022349C" w:rsidRDefault="00B00ACA" w:rsidP="00C21F49">
            <w:pPr>
              <w:spacing w:after="0" w:line="240" w:lineRule="auto"/>
              <w:ind w:firstLineChars="100" w:firstLine="200"/>
              <w:jc w:val="right"/>
              <w:rPr>
                <w:rFonts w:ascii="Tahoma" w:eastAsia="Times New Roman" w:hAnsi="Tahoma" w:cs="Tahoma"/>
                <w:color w:val="000000"/>
                <w:sz w:val="20"/>
                <w:szCs w:val="20"/>
                <w:lang w:eastAsia="fr-FR"/>
              </w:rPr>
            </w:pPr>
            <w:r w:rsidRPr="0022349C">
              <w:rPr>
                <w:rFonts w:ascii="Tahoma" w:eastAsia="Times New Roman" w:hAnsi="Tahoma" w:cs="Tahoma"/>
                <w:color w:val="000000"/>
                <w:sz w:val="20"/>
                <w:szCs w:val="20"/>
                <w:lang w:eastAsia="fr-FR"/>
              </w:rPr>
              <w:t> </w:t>
            </w:r>
          </w:p>
        </w:tc>
      </w:tr>
      <w:tr w:rsidR="00B00ACA" w:rsidRPr="0022349C" w14:paraId="4BAB721C" w14:textId="77777777" w:rsidTr="00C21F49">
        <w:trPr>
          <w:trHeight w:val="290"/>
        </w:trPr>
        <w:tc>
          <w:tcPr>
            <w:tcW w:w="5387" w:type="dxa"/>
            <w:tcBorders>
              <w:top w:val="nil"/>
              <w:left w:val="nil"/>
              <w:bottom w:val="nil"/>
              <w:right w:val="nil"/>
            </w:tcBorders>
            <w:shd w:val="clear" w:color="auto" w:fill="auto"/>
            <w:vAlign w:val="center"/>
            <w:hideMark/>
          </w:tcPr>
          <w:p w14:paraId="349C0755" w14:textId="77777777" w:rsidR="00B00ACA" w:rsidRPr="00B00ACA" w:rsidRDefault="00B00ACA" w:rsidP="00C21F49">
            <w:pPr>
              <w:spacing w:after="0" w:line="240" w:lineRule="auto"/>
              <w:rPr>
                <w:rFonts w:ascii="Tahoma" w:eastAsia="Times New Roman" w:hAnsi="Tahoma" w:cs="Tahoma"/>
                <w:color w:val="231F20"/>
                <w:sz w:val="16"/>
                <w:szCs w:val="16"/>
                <w:lang w:val="fr-FR" w:eastAsia="fr-FR"/>
              </w:rPr>
            </w:pPr>
            <w:r w:rsidRPr="00B00ACA">
              <w:rPr>
                <w:rFonts w:ascii="Tahoma" w:eastAsia="Times New Roman" w:hAnsi="Tahoma" w:cs="Tahoma"/>
                <w:color w:val="231F20"/>
                <w:sz w:val="16"/>
                <w:szCs w:val="16"/>
                <w:lang w:val="fr-FR" w:eastAsia="fr-FR"/>
              </w:rPr>
              <w:t>(*) calculé au titre des différentes périodes sur le nombre d’actions existant :</w:t>
            </w:r>
          </w:p>
        </w:tc>
        <w:tc>
          <w:tcPr>
            <w:tcW w:w="1843" w:type="dxa"/>
            <w:tcBorders>
              <w:top w:val="nil"/>
              <w:left w:val="nil"/>
              <w:bottom w:val="nil"/>
              <w:right w:val="nil"/>
            </w:tcBorders>
            <w:shd w:val="clear" w:color="auto" w:fill="auto"/>
            <w:vAlign w:val="bottom"/>
            <w:hideMark/>
          </w:tcPr>
          <w:p w14:paraId="60D225FD" w14:textId="77777777" w:rsidR="00B00ACA" w:rsidRPr="0022349C" w:rsidRDefault="00B00ACA" w:rsidP="00C21F49">
            <w:pPr>
              <w:spacing w:after="0" w:line="240" w:lineRule="auto"/>
              <w:ind w:firstLineChars="100" w:firstLine="160"/>
              <w:jc w:val="right"/>
              <w:rPr>
                <w:rFonts w:ascii="Tahoma" w:eastAsia="Times New Roman" w:hAnsi="Tahoma" w:cs="Tahoma"/>
                <w:sz w:val="16"/>
                <w:szCs w:val="16"/>
                <w:lang w:eastAsia="fr-FR"/>
              </w:rPr>
            </w:pPr>
            <w:r w:rsidRPr="0022349C">
              <w:rPr>
                <w:rFonts w:ascii="Tahoma" w:eastAsia="Times New Roman" w:hAnsi="Tahoma" w:cs="Tahoma"/>
                <w:sz w:val="16"/>
                <w:szCs w:val="16"/>
                <w:lang w:eastAsia="fr-FR"/>
              </w:rPr>
              <w:t>7 457 499</w:t>
            </w:r>
          </w:p>
        </w:tc>
        <w:tc>
          <w:tcPr>
            <w:tcW w:w="1701" w:type="dxa"/>
            <w:tcBorders>
              <w:top w:val="nil"/>
              <w:left w:val="nil"/>
              <w:bottom w:val="nil"/>
              <w:right w:val="nil"/>
            </w:tcBorders>
            <w:shd w:val="clear" w:color="auto" w:fill="auto"/>
            <w:vAlign w:val="bottom"/>
            <w:hideMark/>
          </w:tcPr>
          <w:p w14:paraId="79083A24" w14:textId="77777777" w:rsidR="00B00ACA" w:rsidRPr="0022349C" w:rsidRDefault="00B00ACA" w:rsidP="00C21F49">
            <w:pPr>
              <w:spacing w:after="0" w:line="240" w:lineRule="auto"/>
              <w:ind w:firstLineChars="100" w:firstLine="160"/>
              <w:jc w:val="right"/>
              <w:rPr>
                <w:rFonts w:ascii="Tahoma" w:eastAsia="Times New Roman" w:hAnsi="Tahoma" w:cs="Tahoma"/>
                <w:color w:val="231F20"/>
                <w:sz w:val="16"/>
                <w:szCs w:val="16"/>
                <w:lang w:eastAsia="fr-FR"/>
              </w:rPr>
            </w:pPr>
            <w:r w:rsidRPr="0022349C">
              <w:rPr>
                <w:rFonts w:ascii="Tahoma" w:eastAsia="Times New Roman" w:hAnsi="Tahoma" w:cs="Tahoma"/>
                <w:color w:val="231F20"/>
                <w:sz w:val="16"/>
                <w:szCs w:val="16"/>
                <w:lang w:eastAsia="fr-FR"/>
              </w:rPr>
              <w:t>7 355 519</w:t>
            </w:r>
          </w:p>
        </w:tc>
      </w:tr>
      <w:tr w:rsidR="00B00ACA" w:rsidRPr="0022349C" w14:paraId="6E8D3C6C" w14:textId="77777777" w:rsidTr="00C21F49">
        <w:trPr>
          <w:trHeight w:val="410"/>
        </w:trPr>
        <w:tc>
          <w:tcPr>
            <w:tcW w:w="5387" w:type="dxa"/>
            <w:tcBorders>
              <w:top w:val="nil"/>
              <w:left w:val="nil"/>
              <w:bottom w:val="single" w:sz="8" w:space="0" w:color="7E8083"/>
              <w:right w:val="nil"/>
            </w:tcBorders>
            <w:shd w:val="clear" w:color="auto" w:fill="auto"/>
            <w:vAlign w:val="center"/>
            <w:hideMark/>
          </w:tcPr>
          <w:p w14:paraId="0B457FE8" w14:textId="77777777" w:rsidR="00B00ACA" w:rsidRPr="00B00ACA" w:rsidRDefault="00B00ACA" w:rsidP="00C21F49">
            <w:pPr>
              <w:spacing w:after="0" w:line="240" w:lineRule="auto"/>
              <w:rPr>
                <w:rFonts w:ascii="Tahoma" w:eastAsia="Times New Roman" w:hAnsi="Tahoma" w:cs="Tahoma"/>
                <w:color w:val="231F20"/>
                <w:sz w:val="16"/>
                <w:szCs w:val="16"/>
                <w:lang w:val="fr-FR" w:eastAsia="fr-FR"/>
              </w:rPr>
            </w:pPr>
            <w:r w:rsidRPr="00B00ACA">
              <w:rPr>
                <w:rFonts w:ascii="Tahoma" w:eastAsia="Times New Roman" w:hAnsi="Tahoma" w:cs="Tahoma"/>
                <w:color w:val="231F20"/>
                <w:sz w:val="16"/>
                <w:szCs w:val="16"/>
                <w:lang w:val="fr-FR" w:eastAsia="fr-FR"/>
              </w:rPr>
              <w:t>(**) calculé au titre des différentes périodes sur le nombre d’actions existant et potentiel :</w:t>
            </w:r>
          </w:p>
        </w:tc>
        <w:tc>
          <w:tcPr>
            <w:tcW w:w="1843" w:type="dxa"/>
            <w:tcBorders>
              <w:top w:val="nil"/>
              <w:left w:val="nil"/>
              <w:bottom w:val="single" w:sz="8" w:space="0" w:color="7E8083"/>
              <w:right w:val="nil"/>
            </w:tcBorders>
            <w:shd w:val="clear" w:color="auto" w:fill="auto"/>
            <w:vAlign w:val="center"/>
            <w:hideMark/>
          </w:tcPr>
          <w:p w14:paraId="044891B2" w14:textId="77777777" w:rsidR="00B00ACA" w:rsidRPr="0022349C" w:rsidRDefault="00B00ACA" w:rsidP="00C21F49">
            <w:pPr>
              <w:spacing w:after="0" w:line="240" w:lineRule="auto"/>
              <w:ind w:firstLineChars="100" w:firstLine="160"/>
              <w:jc w:val="right"/>
              <w:rPr>
                <w:rFonts w:ascii="Tahoma" w:eastAsia="Times New Roman" w:hAnsi="Tahoma" w:cs="Tahoma"/>
                <w:color w:val="231F20"/>
                <w:sz w:val="16"/>
                <w:szCs w:val="16"/>
                <w:lang w:eastAsia="fr-FR"/>
              </w:rPr>
            </w:pPr>
            <w:r w:rsidRPr="0022349C">
              <w:rPr>
                <w:rFonts w:ascii="Tahoma" w:eastAsia="Times New Roman" w:hAnsi="Tahoma" w:cs="Tahoma"/>
                <w:color w:val="231F20"/>
                <w:sz w:val="16"/>
                <w:szCs w:val="16"/>
                <w:lang w:eastAsia="fr-FR"/>
              </w:rPr>
              <w:t>7 937 876</w:t>
            </w:r>
          </w:p>
        </w:tc>
        <w:tc>
          <w:tcPr>
            <w:tcW w:w="1701" w:type="dxa"/>
            <w:tcBorders>
              <w:top w:val="nil"/>
              <w:left w:val="nil"/>
              <w:bottom w:val="single" w:sz="8" w:space="0" w:color="7E8083"/>
              <w:right w:val="nil"/>
            </w:tcBorders>
            <w:shd w:val="clear" w:color="auto" w:fill="auto"/>
            <w:vAlign w:val="center"/>
            <w:hideMark/>
          </w:tcPr>
          <w:p w14:paraId="6F0A05CB" w14:textId="77777777" w:rsidR="00B00ACA" w:rsidRPr="0022349C" w:rsidRDefault="00B00ACA" w:rsidP="00C21F49">
            <w:pPr>
              <w:spacing w:after="0" w:line="240" w:lineRule="auto"/>
              <w:ind w:firstLineChars="100" w:firstLine="160"/>
              <w:jc w:val="right"/>
              <w:rPr>
                <w:rFonts w:ascii="Tahoma" w:eastAsia="Times New Roman" w:hAnsi="Tahoma" w:cs="Tahoma"/>
                <w:color w:val="231F20"/>
                <w:sz w:val="16"/>
                <w:szCs w:val="16"/>
                <w:lang w:eastAsia="fr-FR"/>
              </w:rPr>
            </w:pPr>
            <w:r w:rsidRPr="0022349C">
              <w:rPr>
                <w:rFonts w:ascii="Tahoma" w:eastAsia="Times New Roman" w:hAnsi="Tahoma" w:cs="Tahoma"/>
                <w:color w:val="231F20"/>
                <w:sz w:val="16"/>
                <w:szCs w:val="16"/>
                <w:lang w:eastAsia="fr-FR"/>
              </w:rPr>
              <w:t>7 373 737</w:t>
            </w:r>
          </w:p>
        </w:tc>
      </w:tr>
    </w:tbl>
    <w:p w14:paraId="5F8EE800" w14:textId="040E3949" w:rsidR="003E1D10" w:rsidRDefault="003E1D10" w:rsidP="003E1D10">
      <w:pPr>
        <w:pStyle w:val="Titre1"/>
        <w:keepLines w:val="0"/>
        <w:spacing w:before="0" w:line="240" w:lineRule="auto"/>
        <w:jc w:val="left"/>
        <w:rPr>
          <w:rFonts w:ascii="Calibri" w:hAnsi="Calibri"/>
          <w:b/>
          <w:color w:val="auto"/>
          <w:sz w:val="24"/>
          <w:lang w:eastAsia="fr-FR"/>
        </w:rPr>
      </w:pPr>
      <w:r w:rsidRPr="00DB61C2">
        <w:rPr>
          <w:rFonts w:ascii="Calibri" w:hAnsi="Calibri"/>
          <w:b/>
          <w:color w:val="auto"/>
          <w:sz w:val="24"/>
          <w:lang w:eastAsia="fr-FR"/>
        </w:rPr>
        <w:lastRenderedPageBreak/>
        <w:t>Cash-flow statement</w:t>
      </w:r>
    </w:p>
    <w:tbl>
      <w:tblPr>
        <w:tblW w:w="8931" w:type="dxa"/>
        <w:tblCellMar>
          <w:left w:w="70" w:type="dxa"/>
          <w:right w:w="70" w:type="dxa"/>
        </w:tblCellMar>
        <w:tblLook w:val="04A0" w:firstRow="1" w:lastRow="0" w:firstColumn="1" w:lastColumn="0" w:noHBand="0" w:noVBand="1"/>
      </w:tblPr>
      <w:tblGrid>
        <w:gridCol w:w="5529"/>
        <w:gridCol w:w="1701"/>
        <w:gridCol w:w="1701"/>
      </w:tblGrid>
      <w:tr w:rsidR="00B00ACA" w:rsidRPr="0022349C" w14:paraId="073E3366" w14:textId="77777777" w:rsidTr="00C21F49">
        <w:trPr>
          <w:trHeight w:val="290"/>
        </w:trPr>
        <w:tc>
          <w:tcPr>
            <w:tcW w:w="5529" w:type="dxa"/>
            <w:tcBorders>
              <w:top w:val="single" w:sz="4" w:space="0" w:color="7E8083"/>
              <w:left w:val="nil"/>
              <w:bottom w:val="single" w:sz="4" w:space="0" w:color="7E8083"/>
              <w:right w:val="nil"/>
            </w:tcBorders>
            <w:shd w:val="clear" w:color="auto" w:fill="auto"/>
            <w:vAlign w:val="center"/>
            <w:hideMark/>
          </w:tcPr>
          <w:p w14:paraId="5D1733D6" w14:textId="77777777" w:rsidR="00B00ACA" w:rsidRPr="0022349C" w:rsidRDefault="00B00ACA" w:rsidP="00C21F49">
            <w:pPr>
              <w:spacing w:after="0" w:line="240" w:lineRule="auto"/>
              <w:ind w:firstLineChars="100" w:firstLine="200"/>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 </w:t>
            </w:r>
          </w:p>
        </w:tc>
        <w:tc>
          <w:tcPr>
            <w:tcW w:w="1701" w:type="dxa"/>
            <w:tcBorders>
              <w:top w:val="single" w:sz="4" w:space="0" w:color="7E8083"/>
              <w:left w:val="nil"/>
              <w:bottom w:val="single" w:sz="4" w:space="0" w:color="7E8083"/>
              <w:right w:val="nil"/>
            </w:tcBorders>
            <w:shd w:val="clear" w:color="000000" w:fill="D7E1E1"/>
            <w:vAlign w:val="bottom"/>
            <w:hideMark/>
          </w:tcPr>
          <w:p w14:paraId="5E2C7653"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 </w:t>
            </w:r>
          </w:p>
        </w:tc>
        <w:tc>
          <w:tcPr>
            <w:tcW w:w="1701" w:type="dxa"/>
            <w:tcBorders>
              <w:top w:val="single" w:sz="4" w:space="0" w:color="7E8083"/>
              <w:left w:val="nil"/>
              <w:bottom w:val="single" w:sz="4" w:space="0" w:color="7E8083"/>
              <w:right w:val="nil"/>
            </w:tcBorders>
            <w:shd w:val="clear" w:color="auto" w:fill="auto"/>
            <w:vAlign w:val="bottom"/>
            <w:hideMark/>
          </w:tcPr>
          <w:p w14:paraId="6AC44955"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 </w:t>
            </w:r>
          </w:p>
        </w:tc>
      </w:tr>
      <w:tr w:rsidR="00B00ACA" w:rsidRPr="0022349C" w14:paraId="4C0BE077" w14:textId="77777777" w:rsidTr="00C21F49">
        <w:trPr>
          <w:trHeight w:val="500"/>
        </w:trPr>
        <w:tc>
          <w:tcPr>
            <w:tcW w:w="5529" w:type="dxa"/>
            <w:tcBorders>
              <w:top w:val="nil"/>
              <w:left w:val="nil"/>
              <w:bottom w:val="single" w:sz="4" w:space="0" w:color="7E8083"/>
              <w:right w:val="nil"/>
            </w:tcBorders>
            <w:shd w:val="clear" w:color="auto" w:fill="auto"/>
            <w:vAlign w:val="center"/>
            <w:hideMark/>
          </w:tcPr>
          <w:p w14:paraId="78468AB8" w14:textId="77777777" w:rsidR="00B00ACA" w:rsidRPr="0022349C" w:rsidRDefault="00B00ACA" w:rsidP="00C21F49">
            <w:pPr>
              <w:spacing w:after="0" w:line="240" w:lineRule="auto"/>
              <w:ind w:firstLineChars="100" w:firstLine="200"/>
              <w:rPr>
                <w:rFonts w:ascii="Tahoma" w:eastAsia="Times New Roman" w:hAnsi="Tahoma" w:cs="Tahoma"/>
                <w:color w:val="7A0000"/>
                <w:sz w:val="20"/>
                <w:szCs w:val="20"/>
                <w:lang w:eastAsia="fr-FR"/>
              </w:rPr>
            </w:pPr>
            <w:bookmarkStart w:id="2" w:name="RANGE!A3:C60"/>
            <w:r w:rsidRPr="0022349C">
              <w:rPr>
                <w:rFonts w:ascii="Tahoma" w:eastAsia="Times New Roman" w:hAnsi="Tahoma" w:cs="Tahoma"/>
                <w:color w:val="7A0000"/>
                <w:sz w:val="20"/>
                <w:szCs w:val="20"/>
                <w:lang w:eastAsia="fr-FR"/>
              </w:rPr>
              <w:t xml:space="preserve">En </w:t>
            </w:r>
            <w:proofErr w:type="spellStart"/>
            <w:r w:rsidRPr="0022349C">
              <w:rPr>
                <w:rFonts w:ascii="Tahoma" w:eastAsia="Times New Roman" w:hAnsi="Tahoma" w:cs="Tahoma"/>
                <w:color w:val="7A0000"/>
                <w:sz w:val="20"/>
                <w:szCs w:val="20"/>
                <w:lang w:eastAsia="fr-FR"/>
              </w:rPr>
              <w:t>milliers</w:t>
            </w:r>
            <w:proofErr w:type="spellEnd"/>
            <w:r w:rsidRPr="0022349C">
              <w:rPr>
                <w:rFonts w:ascii="Tahoma" w:eastAsia="Times New Roman" w:hAnsi="Tahoma" w:cs="Tahoma"/>
                <w:color w:val="7A0000"/>
                <w:sz w:val="20"/>
                <w:szCs w:val="20"/>
                <w:lang w:eastAsia="fr-FR"/>
              </w:rPr>
              <w:t xml:space="preserve"> </w:t>
            </w:r>
            <w:proofErr w:type="spellStart"/>
            <w:r w:rsidRPr="0022349C">
              <w:rPr>
                <w:rFonts w:ascii="Tahoma" w:eastAsia="Times New Roman" w:hAnsi="Tahoma" w:cs="Tahoma"/>
                <w:color w:val="7A0000"/>
                <w:sz w:val="20"/>
                <w:szCs w:val="20"/>
                <w:lang w:eastAsia="fr-FR"/>
              </w:rPr>
              <w:t>d’euros</w:t>
            </w:r>
            <w:bookmarkEnd w:id="2"/>
            <w:proofErr w:type="spellEnd"/>
          </w:p>
        </w:tc>
        <w:tc>
          <w:tcPr>
            <w:tcW w:w="1701" w:type="dxa"/>
            <w:tcBorders>
              <w:top w:val="nil"/>
              <w:left w:val="nil"/>
              <w:bottom w:val="single" w:sz="4" w:space="0" w:color="7E8083"/>
              <w:right w:val="nil"/>
            </w:tcBorders>
            <w:shd w:val="clear" w:color="000000" w:fill="D7E1E1"/>
            <w:vAlign w:val="center"/>
            <w:hideMark/>
          </w:tcPr>
          <w:p w14:paraId="4544BDAA" w14:textId="77777777" w:rsidR="00B00ACA" w:rsidRPr="0022349C" w:rsidRDefault="00B00ACA" w:rsidP="00C21F49">
            <w:pPr>
              <w:spacing w:after="0" w:line="240" w:lineRule="auto"/>
              <w:jc w:val="center"/>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 xml:space="preserve">Au 31 </w:t>
            </w:r>
            <w:proofErr w:type="spellStart"/>
            <w:r w:rsidRPr="0022349C">
              <w:rPr>
                <w:rFonts w:ascii="Tahoma" w:eastAsia="Times New Roman" w:hAnsi="Tahoma" w:cs="Tahoma"/>
                <w:b/>
                <w:bCs/>
                <w:color w:val="7A0000"/>
                <w:sz w:val="20"/>
                <w:szCs w:val="20"/>
                <w:lang w:eastAsia="fr-FR"/>
              </w:rPr>
              <w:t>décembre</w:t>
            </w:r>
            <w:proofErr w:type="spellEnd"/>
            <w:r w:rsidRPr="0022349C">
              <w:rPr>
                <w:rFonts w:ascii="Tahoma" w:eastAsia="Times New Roman" w:hAnsi="Tahoma" w:cs="Tahoma"/>
                <w:b/>
                <w:bCs/>
                <w:color w:val="7A0000"/>
                <w:sz w:val="20"/>
                <w:szCs w:val="20"/>
                <w:lang w:eastAsia="fr-FR"/>
              </w:rPr>
              <w:t xml:space="preserve"> 2023</w:t>
            </w:r>
          </w:p>
        </w:tc>
        <w:tc>
          <w:tcPr>
            <w:tcW w:w="1701" w:type="dxa"/>
            <w:tcBorders>
              <w:top w:val="nil"/>
              <w:left w:val="nil"/>
              <w:bottom w:val="single" w:sz="4" w:space="0" w:color="7E8083"/>
              <w:right w:val="nil"/>
            </w:tcBorders>
            <w:shd w:val="clear" w:color="auto" w:fill="auto"/>
            <w:vAlign w:val="center"/>
            <w:hideMark/>
          </w:tcPr>
          <w:p w14:paraId="792CF04E" w14:textId="77777777" w:rsidR="00B00ACA" w:rsidRPr="0022349C" w:rsidRDefault="00B00ACA" w:rsidP="00C21F49">
            <w:pPr>
              <w:spacing w:after="0" w:line="240" w:lineRule="auto"/>
              <w:jc w:val="center"/>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 xml:space="preserve">Au 31 </w:t>
            </w:r>
            <w:proofErr w:type="spellStart"/>
            <w:r w:rsidRPr="0022349C">
              <w:rPr>
                <w:rFonts w:ascii="Tahoma" w:eastAsia="Times New Roman" w:hAnsi="Tahoma" w:cs="Tahoma"/>
                <w:b/>
                <w:bCs/>
                <w:color w:val="7A0000"/>
                <w:sz w:val="20"/>
                <w:szCs w:val="20"/>
                <w:lang w:eastAsia="fr-FR"/>
              </w:rPr>
              <w:t>décembre</w:t>
            </w:r>
            <w:proofErr w:type="spellEnd"/>
            <w:r w:rsidRPr="0022349C">
              <w:rPr>
                <w:rFonts w:ascii="Tahoma" w:eastAsia="Times New Roman" w:hAnsi="Tahoma" w:cs="Tahoma"/>
                <w:b/>
                <w:bCs/>
                <w:color w:val="7A0000"/>
                <w:sz w:val="20"/>
                <w:szCs w:val="20"/>
                <w:lang w:eastAsia="fr-FR"/>
              </w:rPr>
              <w:t xml:space="preserve"> 2022</w:t>
            </w:r>
          </w:p>
        </w:tc>
      </w:tr>
      <w:tr w:rsidR="00B00ACA" w:rsidRPr="0022349C" w14:paraId="439BAE24" w14:textId="77777777" w:rsidTr="00C21F49">
        <w:trPr>
          <w:trHeight w:val="290"/>
        </w:trPr>
        <w:tc>
          <w:tcPr>
            <w:tcW w:w="5529" w:type="dxa"/>
            <w:tcBorders>
              <w:top w:val="nil"/>
              <w:left w:val="nil"/>
              <w:bottom w:val="single" w:sz="4" w:space="0" w:color="7E8083"/>
              <w:right w:val="nil"/>
            </w:tcBorders>
            <w:shd w:val="clear" w:color="auto" w:fill="auto"/>
            <w:vAlign w:val="center"/>
            <w:hideMark/>
          </w:tcPr>
          <w:p w14:paraId="7EAF0015" w14:textId="77777777" w:rsidR="00B00ACA" w:rsidRPr="0022349C" w:rsidRDefault="00B00ACA" w:rsidP="00C21F49">
            <w:pPr>
              <w:spacing w:after="0" w:line="240" w:lineRule="auto"/>
              <w:ind w:firstLineChars="100" w:firstLine="200"/>
              <w:rPr>
                <w:rFonts w:ascii="Tahoma" w:eastAsia="Times New Roman" w:hAnsi="Tahoma" w:cs="Tahoma"/>
                <w:color w:val="7A0000"/>
                <w:sz w:val="20"/>
                <w:szCs w:val="20"/>
                <w:lang w:eastAsia="fr-FR"/>
              </w:rPr>
            </w:pPr>
            <w:proofErr w:type="spellStart"/>
            <w:r w:rsidRPr="0022349C">
              <w:rPr>
                <w:rFonts w:ascii="Tahoma" w:eastAsia="Times New Roman" w:hAnsi="Tahoma" w:cs="Tahoma"/>
                <w:color w:val="7A0000"/>
                <w:sz w:val="20"/>
                <w:szCs w:val="20"/>
                <w:lang w:eastAsia="fr-FR"/>
              </w:rPr>
              <w:t>Résultat</w:t>
            </w:r>
            <w:proofErr w:type="spellEnd"/>
            <w:r w:rsidRPr="0022349C">
              <w:rPr>
                <w:rFonts w:ascii="Tahoma" w:eastAsia="Times New Roman" w:hAnsi="Tahoma" w:cs="Tahoma"/>
                <w:color w:val="7A0000"/>
                <w:sz w:val="20"/>
                <w:szCs w:val="20"/>
                <w:lang w:eastAsia="fr-FR"/>
              </w:rPr>
              <w:t xml:space="preserve"> des </w:t>
            </w:r>
            <w:proofErr w:type="spellStart"/>
            <w:r w:rsidRPr="0022349C">
              <w:rPr>
                <w:rFonts w:ascii="Tahoma" w:eastAsia="Times New Roman" w:hAnsi="Tahoma" w:cs="Tahoma"/>
                <w:color w:val="7A0000"/>
                <w:sz w:val="20"/>
                <w:szCs w:val="20"/>
                <w:lang w:eastAsia="fr-FR"/>
              </w:rPr>
              <w:t>activités</w:t>
            </w:r>
            <w:proofErr w:type="spellEnd"/>
            <w:r w:rsidRPr="0022349C">
              <w:rPr>
                <w:rFonts w:ascii="Tahoma" w:eastAsia="Times New Roman" w:hAnsi="Tahoma" w:cs="Tahoma"/>
                <w:color w:val="7A0000"/>
                <w:sz w:val="20"/>
                <w:szCs w:val="20"/>
                <w:lang w:eastAsia="fr-FR"/>
              </w:rPr>
              <w:t xml:space="preserve"> </w:t>
            </w:r>
            <w:proofErr w:type="spellStart"/>
            <w:r w:rsidRPr="0022349C">
              <w:rPr>
                <w:rFonts w:ascii="Tahoma" w:eastAsia="Times New Roman" w:hAnsi="Tahoma" w:cs="Tahoma"/>
                <w:color w:val="7A0000"/>
                <w:sz w:val="20"/>
                <w:szCs w:val="20"/>
                <w:lang w:eastAsia="fr-FR"/>
              </w:rPr>
              <w:t>poursuivies</w:t>
            </w:r>
            <w:proofErr w:type="spellEnd"/>
          </w:p>
        </w:tc>
        <w:tc>
          <w:tcPr>
            <w:tcW w:w="1701" w:type="dxa"/>
            <w:tcBorders>
              <w:top w:val="nil"/>
              <w:left w:val="nil"/>
              <w:bottom w:val="single" w:sz="4" w:space="0" w:color="7E8083"/>
              <w:right w:val="nil"/>
            </w:tcBorders>
            <w:shd w:val="clear" w:color="000000" w:fill="D7E1E1"/>
            <w:vAlign w:val="bottom"/>
            <w:hideMark/>
          </w:tcPr>
          <w:p w14:paraId="1AA31114"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3 610</w:t>
            </w:r>
          </w:p>
        </w:tc>
        <w:tc>
          <w:tcPr>
            <w:tcW w:w="1701" w:type="dxa"/>
            <w:tcBorders>
              <w:top w:val="nil"/>
              <w:left w:val="nil"/>
              <w:bottom w:val="single" w:sz="4" w:space="0" w:color="7E8083"/>
              <w:right w:val="nil"/>
            </w:tcBorders>
            <w:shd w:val="clear" w:color="auto" w:fill="auto"/>
            <w:vAlign w:val="bottom"/>
            <w:hideMark/>
          </w:tcPr>
          <w:p w14:paraId="7CD2F205"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8 321</w:t>
            </w:r>
          </w:p>
        </w:tc>
      </w:tr>
      <w:tr w:rsidR="00B00ACA" w:rsidRPr="0022349C" w14:paraId="2219058F" w14:textId="77777777" w:rsidTr="00C21F49">
        <w:trPr>
          <w:trHeight w:val="290"/>
        </w:trPr>
        <w:tc>
          <w:tcPr>
            <w:tcW w:w="5529" w:type="dxa"/>
            <w:tcBorders>
              <w:top w:val="nil"/>
              <w:left w:val="nil"/>
              <w:bottom w:val="nil"/>
              <w:right w:val="nil"/>
            </w:tcBorders>
            <w:shd w:val="clear" w:color="auto" w:fill="auto"/>
            <w:vAlign w:val="center"/>
            <w:hideMark/>
          </w:tcPr>
          <w:p w14:paraId="46746C86" w14:textId="77777777" w:rsidR="00B00ACA" w:rsidRPr="00B00ACA" w:rsidRDefault="00B00ACA" w:rsidP="00C21F49">
            <w:pPr>
              <w:spacing w:after="0" w:line="240" w:lineRule="auto"/>
              <w:ind w:firstLineChars="100" w:firstLine="200"/>
              <w:rPr>
                <w:rFonts w:ascii="Tahoma" w:eastAsia="Times New Roman" w:hAnsi="Tahoma" w:cs="Tahoma"/>
                <w:color w:val="7A0000"/>
                <w:sz w:val="20"/>
                <w:szCs w:val="20"/>
                <w:lang w:val="fr-FR" w:eastAsia="fr-FR"/>
              </w:rPr>
            </w:pPr>
            <w:r w:rsidRPr="00B00ACA">
              <w:rPr>
                <w:rFonts w:ascii="Tahoma" w:eastAsia="Times New Roman" w:hAnsi="Tahoma" w:cs="Tahoma"/>
                <w:color w:val="7A0000"/>
                <w:sz w:val="20"/>
                <w:szCs w:val="20"/>
                <w:lang w:val="fr-FR" w:eastAsia="fr-FR"/>
              </w:rPr>
              <w:t>Résultat des activités non maintenues</w:t>
            </w:r>
          </w:p>
        </w:tc>
        <w:tc>
          <w:tcPr>
            <w:tcW w:w="1701" w:type="dxa"/>
            <w:tcBorders>
              <w:top w:val="nil"/>
              <w:left w:val="nil"/>
              <w:bottom w:val="nil"/>
              <w:right w:val="nil"/>
            </w:tcBorders>
            <w:shd w:val="clear" w:color="000000" w:fill="D7E1E1"/>
            <w:vAlign w:val="bottom"/>
            <w:hideMark/>
          </w:tcPr>
          <w:p w14:paraId="7B743B86"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-1 194</w:t>
            </w:r>
          </w:p>
        </w:tc>
        <w:tc>
          <w:tcPr>
            <w:tcW w:w="1701" w:type="dxa"/>
            <w:tcBorders>
              <w:top w:val="nil"/>
              <w:left w:val="nil"/>
              <w:bottom w:val="nil"/>
              <w:right w:val="nil"/>
            </w:tcBorders>
            <w:shd w:val="clear" w:color="auto" w:fill="auto"/>
            <w:vAlign w:val="bottom"/>
            <w:hideMark/>
          </w:tcPr>
          <w:p w14:paraId="351C84A2"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-5 738</w:t>
            </w:r>
          </w:p>
        </w:tc>
      </w:tr>
      <w:tr w:rsidR="00B00ACA" w:rsidRPr="0022349C" w14:paraId="59D779AA" w14:textId="77777777" w:rsidTr="00C21F49">
        <w:trPr>
          <w:trHeight w:val="290"/>
        </w:trPr>
        <w:tc>
          <w:tcPr>
            <w:tcW w:w="5529" w:type="dxa"/>
            <w:tcBorders>
              <w:top w:val="single" w:sz="4" w:space="0" w:color="7E8083"/>
              <w:left w:val="nil"/>
              <w:bottom w:val="nil"/>
              <w:right w:val="nil"/>
            </w:tcBorders>
            <w:shd w:val="clear" w:color="auto" w:fill="auto"/>
            <w:vAlign w:val="center"/>
            <w:hideMark/>
          </w:tcPr>
          <w:p w14:paraId="34F6F619"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Dotations nettes aux amortissements et provisions</w:t>
            </w:r>
          </w:p>
        </w:tc>
        <w:tc>
          <w:tcPr>
            <w:tcW w:w="1701" w:type="dxa"/>
            <w:tcBorders>
              <w:top w:val="single" w:sz="4" w:space="0" w:color="7E8083"/>
              <w:left w:val="nil"/>
              <w:bottom w:val="nil"/>
              <w:right w:val="nil"/>
            </w:tcBorders>
            <w:shd w:val="clear" w:color="000000" w:fill="D7E1E1"/>
            <w:vAlign w:val="bottom"/>
            <w:hideMark/>
          </w:tcPr>
          <w:p w14:paraId="014BEAF0"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21 269</w:t>
            </w:r>
          </w:p>
        </w:tc>
        <w:tc>
          <w:tcPr>
            <w:tcW w:w="1701" w:type="dxa"/>
            <w:tcBorders>
              <w:top w:val="single" w:sz="4" w:space="0" w:color="7E8083"/>
              <w:left w:val="nil"/>
              <w:bottom w:val="nil"/>
              <w:right w:val="nil"/>
            </w:tcBorders>
            <w:shd w:val="clear" w:color="auto" w:fill="auto"/>
            <w:vAlign w:val="bottom"/>
            <w:hideMark/>
          </w:tcPr>
          <w:p w14:paraId="5880A219"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19 043</w:t>
            </w:r>
          </w:p>
        </w:tc>
      </w:tr>
      <w:tr w:rsidR="00B00ACA" w:rsidRPr="0022349C" w14:paraId="34B2E687" w14:textId="77777777" w:rsidTr="00C21F49">
        <w:trPr>
          <w:trHeight w:val="290"/>
        </w:trPr>
        <w:tc>
          <w:tcPr>
            <w:tcW w:w="5529" w:type="dxa"/>
            <w:tcBorders>
              <w:top w:val="nil"/>
              <w:left w:val="nil"/>
              <w:bottom w:val="nil"/>
              <w:right w:val="nil"/>
            </w:tcBorders>
            <w:shd w:val="clear" w:color="auto" w:fill="auto"/>
            <w:vAlign w:val="center"/>
            <w:hideMark/>
          </w:tcPr>
          <w:p w14:paraId="3A63593B"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Dotations aux amortissements des droits d'utilisation</w:t>
            </w:r>
          </w:p>
          <w:p w14:paraId="10630A8C"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des </w:t>
            </w:r>
            <w:proofErr w:type="spellStart"/>
            <w:r w:rsidRPr="0022349C">
              <w:rPr>
                <w:rFonts w:ascii="Tahoma" w:eastAsia="Times New Roman" w:hAnsi="Tahoma" w:cs="Tahoma"/>
                <w:color w:val="231F20"/>
                <w:sz w:val="20"/>
                <w:szCs w:val="20"/>
                <w:lang w:eastAsia="fr-FR"/>
              </w:rPr>
              <w:t>actifs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loué</w:t>
            </w:r>
            <w:proofErr w:type="spellEnd"/>
            <w:r w:rsidRPr="0022349C">
              <w:rPr>
                <w:rFonts w:ascii="Tahoma" w:eastAsia="Times New Roman" w:hAnsi="Tahoma" w:cs="Tahoma"/>
                <w:color w:val="231F20"/>
                <w:sz w:val="20"/>
                <w:szCs w:val="20"/>
                <w:lang w:eastAsia="fr-FR"/>
              </w:rPr>
              <w:t xml:space="preserve"> (IFRS 16)</w:t>
            </w:r>
          </w:p>
        </w:tc>
        <w:tc>
          <w:tcPr>
            <w:tcW w:w="1701" w:type="dxa"/>
            <w:tcBorders>
              <w:top w:val="nil"/>
              <w:left w:val="nil"/>
              <w:bottom w:val="nil"/>
              <w:right w:val="nil"/>
            </w:tcBorders>
            <w:shd w:val="clear" w:color="000000" w:fill="D7E1E1"/>
            <w:vAlign w:val="bottom"/>
            <w:hideMark/>
          </w:tcPr>
          <w:p w14:paraId="429855B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10 347</w:t>
            </w:r>
          </w:p>
        </w:tc>
        <w:tc>
          <w:tcPr>
            <w:tcW w:w="1701" w:type="dxa"/>
            <w:tcBorders>
              <w:top w:val="nil"/>
              <w:left w:val="nil"/>
              <w:bottom w:val="nil"/>
              <w:right w:val="nil"/>
            </w:tcBorders>
            <w:shd w:val="clear" w:color="auto" w:fill="auto"/>
            <w:vAlign w:val="bottom"/>
            <w:hideMark/>
          </w:tcPr>
          <w:p w14:paraId="691DBB9A"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9 441</w:t>
            </w:r>
          </w:p>
        </w:tc>
      </w:tr>
      <w:tr w:rsidR="00B00ACA" w:rsidRPr="0022349C" w14:paraId="507CCBC4" w14:textId="77777777" w:rsidTr="00C21F49">
        <w:trPr>
          <w:trHeight w:val="290"/>
        </w:trPr>
        <w:tc>
          <w:tcPr>
            <w:tcW w:w="5529" w:type="dxa"/>
            <w:tcBorders>
              <w:top w:val="nil"/>
              <w:left w:val="nil"/>
              <w:bottom w:val="nil"/>
              <w:right w:val="nil"/>
            </w:tcBorders>
            <w:shd w:val="clear" w:color="auto" w:fill="auto"/>
            <w:vAlign w:val="center"/>
            <w:hideMark/>
          </w:tcPr>
          <w:p w14:paraId="4E428BE1"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Gains et pertes latents liés aux variations de juste valeur</w:t>
            </w:r>
          </w:p>
        </w:tc>
        <w:tc>
          <w:tcPr>
            <w:tcW w:w="1701" w:type="dxa"/>
            <w:tcBorders>
              <w:top w:val="nil"/>
              <w:left w:val="nil"/>
              <w:bottom w:val="nil"/>
              <w:right w:val="nil"/>
            </w:tcBorders>
            <w:shd w:val="clear" w:color="000000" w:fill="D7E1E1"/>
            <w:vAlign w:val="bottom"/>
            <w:hideMark/>
          </w:tcPr>
          <w:p w14:paraId="69FD1179"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-4</w:t>
            </w:r>
          </w:p>
        </w:tc>
        <w:tc>
          <w:tcPr>
            <w:tcW w:w="1701" w:type="dxa"/>
            <w:tcBorders>
              <w:top w:val="nil"/>
              <w:left w:val="nil"/>
              <w:bottom w:val="nil"/>
              <w:right w:val="nil"/>
            </w:tcBorders>
            <w:shd w:val="clear" w:color="auto" w:fill="auto"/>
            <w:vAlign w:val="bottom"/>
            <w:hideMark/>
          </w:tcPr>
          <w:p w14:paraId="2C944DE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53</w:t>
            </w:r>
          </w:p>
        </w:tc>
      </w:tr>
      <w:tr w:rsidR="00B00ACA" w:rsidRPr="0022349C" w14:paraId="74DEE88D" w14:textId="77777777" w:rsidTr="00C21F49">
        <w:trPr>
          <w:trHeight w:val="290"/>
        </w:trPr>
        <w:tc>
          <w:tcPr>
            <w:tcW w:w="5529" w:type="dxa"/>
            <w:tcBorders>
              <w:top w:val="nil"/>
              <w:left w:val="nil"/>
              <w:bottom w:val="nil"/>
              <w:right w:val="nil"/>
            </w:tcBorders>
            <w:shd w:val="clear" w:color="auto" w:fill="auto"/>
            <w:vAlign w:val="center"/>
            <w:hideMark/>
          </w:tcPr>
          <w:p w14:paraId="5EA1F0EC"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 xml:space="preserve">Charges et produits calculés aux </w:t>
            </w:r>
            <w:proofErr w:type="spellStart"/>
            <w:r w:rsidRPr="00B00ACA">
              <w:rPr>
                <w:rFonts w:ascii="Tahoma" w:eastAsia="Times New Roman" w:hAnsi="Tahoma" w:cs="Tahoma"/>
                <w:color w:val="231F20"/>
                <w:sz w:val="20"/>
                <w:szCs w:val="20"/>
                <w:lang w:val="fr-FR" w:eastAsia="fr-FR"/>
              </w:rPr>
              <w:t>stocks-options</w:t>
            </w:r>
            <w:proofErr w:type="spellEnd"/>
            <w:r w:rsidRPr="00B00ACA">
              <w:rPr>
                <w:rFonts w:ascii="Tahoma" w:eastAsia="Times New Roman" w:hAnsi="Tahoma" w:cs="Tahoma"/>
                <w:color w:val="231F20"/>
                <w:sz w:val="20"/>
                <w:szCs w:val="20"/>
                <w:lang w:val="fr-FR" w:eastAsia="fr-FR"/>
              </w:rPr>
              <w:t xml:space="preserve"> et assimilés</w:t>
            </w:r>
          </w:p>
        </w:tc>
        <w:tc>
          <w:tcPr>
            <w:tcW w:w="1701" w:type="dxa"/>
            <w:tcBorders>
              <w:top w:val="nil"/>
              <w:left w:val="nil"/>
              <w:bottom w:val="nil"/>
              <w:right w:val="nil"/>
            </w:tcBorders>
            <w:shd w:val="clear" w:color="000000" w:fill="D7E1E1"/>
            <w:vAlign w:val="bottom"/>
            <w:hideMark/>
          </w:tcPr>
          <w:p w14:paraId="05A47BF5"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c>
          <w:tcPr>
            <w:tcW w:w="1701" w:type="dxa"/>
            <w:tcBorders>
              <w:top w:val="nil"/>
              <w:left w:val="nil"/>
              <w:bottom w:val="nil"/>
              <w:right w:val="nil"/>
            </w:tcBorders>
            <w:shd w:val="clear" w:color="auto" w:fill="auto"/>
            <w:vAlign w:val="bottom"/>
            <w:hideMark/>
          </w:tcPr>
          <w:p w14:paraId="123420E7"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184</w:t>
            </w:r>
          </w:p>
        </w:tc>
      </w:tr>
      <w:tr w:rsidR="00B00ACA" w:rsidRPr="0022349C" w14:paraId="0673BFC4" w14:textId="77777777" w:rsidTr="00C21F49">
        <w:trPr>
          <w:trHeight w:val="290"/>
        </w:trPr>
        <w:tc>
          <w:tcPr>
            <w:tcW w:w="5529" w:type="dxa"/>
            <w:tcBorders>
              <w:top w:val="nil"/>
              <w:left w:val="nil"/>
              <w:bottom w:val="nil"/>
              <w:right w:val="nil"/>
            </w:tcBorders>
            <w:shd w:val="clear" w:color="auto" w:fill="auto"/>
            <w:vAlign w:val="center"/>
            <w:hideMark/>
          </w:tcPr>
          <w:p w14:paraId="268C50A0"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Autres produits et charges calculés</w:t>
            </w:r>
          </w:p>
        </w:tc>
        <w:tc>
          <w:tcPr>
            <w:tcW w:w="1701" w:type="dxa"/>
            <w:tcBorders>
              <w:top w:val="nil"/>
              <w:left w:val="nil"/>
              <w:bottom w:val="nil"/>
              <w:right w:val="nil"/>
            </w:tcBorders>
            <w:shd w:val="clear" w:color="000000" w:fill="D7E1E1"/>
            <w:vAlign w:val="bottom"/>
            <w:hideMark/>
          </w:tcPr>
          <w:p w14:paraId="6FFDD71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c>
          <w:tcPr>
            <w:tcW w:w="1701" w:type="dxa"/>
            <w:tcBorders>
              <w:top w:val="nil"/>
              <w:left w:val="nil"/>
              <w:bottom w:val="nil"/>
              <w:right w:val="nil"/>
            </w:tcBorders>
            <w:shd w:val="clear" w:color="auto" w:fill="auto"/>
            <w:vAlign w:val="bottom"/>
            <w:hideMark/>
          </w:tcPr>
          <w:p w14:paraId="7830E2A5"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547</w:t>
            </w:r>
          </w:p>
        </w:tc>
      </w:tr>
      <w:tr w:rsidR="00B00ACA" w:rsidRPr="0022349C" w14:paraId="06C6DFBF" w14:textId="77777777" w:rsidTr="00C21F49">
        <w:trPr>
          <w:trHeight w:val="290"/>
        </w:trPr>
        <w:tc>
          <w:tcPr>
            <w:tcW w:w="5529" w:type="dxa"/>
            <w:tcBorders>
              <w:top w:val="nil"/>
              <w:left w:val="nil"/>
              <w:bottom w:val="nil"/>
              <w:right w:val="nil"/>
            </w:tcBorders>
            <w:shd w:val="clear" w:color="auto" w:fill="auto"/>
            <w:vAlign w:val="center"/>
            <w:hideMark/>
          </w:tcPr>
          <w:p w14:paraId="2190845E"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Plus et moins-values de cession</w:t>
            </w:r>
          </w:p>
        </w:tc>
        <w:tc>
          <w:tcPr>
            <w:tcW w:w="1701" w:type="dxa"/>
            <w:tcBorders>
              <w:top w:val="nil"/>
              <w:left w:val="nil"/>
              <w:bottom w:val="nil"/>
              <w:right w:val="nil"/>
            </w:tcBorders>
            <w:shd w:val="clear" w:color="000000" w:fill="D7E1E1"/>
            <w:vAlign w:val="bottom"/>
            <w:hideMark/>
          </w:tcPr>
          <w:p w14:paraId="4032CC89"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-2 681</w:t>
            </w:r>
          </w:p>
        </w:tc>
        <w:tc>
          <w:tcPr>
            <w:tcW w:w="1701" w:type="dxa"/>
            <w:tcBorders>
              <w:top w:val="nil"/>
              <w:left w:val="nil"/>
              <w:bottom w:val="nil"/>
              <w:right w:val="nil"/>
            </w:tcBorders>
            <w:shd w:val="clear" w:color="auto" w:fill="auto"/>
            <w:vAlign w:val="bottom"/>
            <w:hideMark/>
          </w:tcPr>
          <w:p w14:paraId="77DD7B0F"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342</w:t>
            </w:r>
          </w:p>
        </w:tc>
      </w:tr>
      <w:tr w:rsidR="00B00ACA" w:rsidRPr="0022349C" w14:paraId="5C1AEB9B" w14:textId="77777777" w:rsidTr="00C21F49">
        <w:trPr>
          <w:trHeight w:val="290"/>
        </w:trPr>
        <w:tc>
          <w:tcPr>
            <w:tcW w:w="5529" w:type="dxa"/>
            <w:tcBorders>
              <w:top w:val="nil"/>
              <w:left w:val="nil"/>
              <w:bottom w:val="nil"/>
              <w:right w:val="nil"/>
            </w:tcBorders>
            <w:shd w:val="clear" w:color="auto" w:fill="auto"/>
            <w:vAlign w:val="center"/>
            <w:hideMark/>
          </w:tcPr>
          <w:p w14:paraId="16824814"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Profits et pertes de dilution</w:t>
            </w:r>
          </w:p>
        </w:tc>
        <w:tc>
          <w:tcPr>
            <w:tcW w:w="1701" w:type="dxa"/>
            <w:tcBorders>
              <w:top w:val="nil"/>
              <w:left w:val="nil"/>
              <w:bottom w:val="nil"/>
              <w:right w:val="nil"/>
            </w:tcBorders>
            <w:shd w:val="clear" w:color="000000" w:fill="D7E1E1"/>
            <w:vAlign w:val="bottom"/>
            <w:hideMark/>
          </w:tcPr>
          <w:p w14:paraId="1F13E8C1"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c>
          <w:tcPr>
            <w:tcW w:w="1701" w:type="dxa"/>
            <w:tcBorders>
              <w:top w:val="nil"/>
              <w:left w:val="nil"/>
              <w:bottom w:val="nil"/>
              <w:right w:val="nil"/>
            </w:tcBorders>
            <w:shd w:val="clear" w:color="auto" w:fill="auto"/>
            <w:vAlign w:val="bottom"/>
            <w:hideMark/>
          </w:tcPr>
          <w:p w14:paraId="59D5048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r>
      <w:tr w:rsidR="00B00ACA" w:rsidRPr="0022349C" w14:paraId="4B5C21AF" w14:textId="77777777" w:rsidTr="00C21F49">
        <w:trPr>
          <w:trHeight w:val="290"/>
        </w:trPr>
        <w:tc>
          <w:tcPr>
            <w:tcW w:w="5529" w:type="dxa"/>
            <w:tcBorders>
              <w:top w:val="nil"/>
              <w:left w:val="nil"/>
              <w:bottom w:val="nil"/>
              <w:right w:val="nil"/>
            </w:tcBorders>
            <w:shd w:val="clear" w:color="auto" w:fill="auto"/>
            <w:vAlign w:val="center"/>
            <w:hideMark/>
          </w:tcPr>
          <w:p w14:paraId="0FCD873B"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Quote-part de résultat liés aux sociétés mises en équivalence</w:t>
            </w:r>
          </w:p>
        </w:tc>
        <w:tc>
          <w:tcPr>
            <w:tcW w:w="1701" w:type="dxa"/>
            <w:tcBorders>
              <w:top w:val="nil"/>
              <w:left w:val="nil"/>
              <w:bottom w:val="nil"/>
              <w:right w:val="nil"/>
            </w:tcBorders>
            <w:shd w:val="clear" w:color="000000" w:fill="D7E1E1"/>
            <w:vAlign w:val="bottom"/>
            <w:hideMark/>
          </w:tcPr>
          <w:p w14:paraId="5AC9A7D1"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c>
          <w:tcPr>
            <w:tcW w:w="1701" w:type="dxa"/>
            <w:tcBorders>
              <w:top w:val="nil"/>
              <w:left w:val="nil"/>
              <w:bottom w:val="nil"/>
              <w:right w:val="nil"/>
            </w:tcBorders>
            <w:shd w:val="clear" w:color="auto" w:fill="auto"/>
            <w:vAlign w:val="bottom"/>
            <w:hideMark/>
          </w:tcPr>
          <w:p w14:paraId="0537DE69"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r>
      <w:tr w:rsidR="00B00ACA" w:rsidRPr="0022349C" w14:paraId="49BC60EA" w14:textId="77777777" w:rsidTr="00C21F49">
        <w:trPr>
          <w:trHeight w:val="290"/>
        </w:trPr>
        <w:tc>
          <w:tcPr>
            <w:tcW w:w="5529" w:type="dxa"/>
            <w:tcBorders>
              <w:top w:val="nil"/>
              <w:left w:val="nil"/>
              <w:bottom w:val="nil"/>
              <w:right w:val="nil"/>
            </w:tcBorders>
            <w:shd w:val="clear" w:color="auto" w:fill="auto"/>
            <w:vAlign w:val="center"/>
            <w:hideMark/>
          </w:tcPr>
          <w:p w14:paraId="2885119D"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Dividendes sur entités non consolidés</w:t>
            </w:r>
          </w:p>
        </w:tc>
        <w:tc>
          <w:tcPr>
            <w:tcW w:w="1701" w:type="dxa"/>
            <w:tcBorders>
              <w:top w:val="nil"/>
              <w:left w:val="nil"/>
              <w:bottom w:val="nil"/>
              <w:right w:val="nil"/>
            </w:tcBorders>
            <w:shd w:val="clear" w:color="000000" w:fill="D7E1E1"/>
            <w:vAlign w:val="bottom"/>
            <w:hideMark/>
          </w:tcPr>
          <w:p w14:paraId="1401821D"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-42</w:t>
            </w:r>
          </w:p>
        </w:tc>
        <w:tc>
          <w:tcPr>
            <w:tcW w:w="1701" w:type="dxa"/>
            <w:tcBorders>
              <w:top w:val="nil"/>
              <w:left w:val="nil"/>
              <w:bottom w:val="nil"/>
              <w:right w:val="nil"/>
            </w:tcBorders>
            <w:shd w:val="clear" w:color="auto" w:fill="auto"/>
            <w:vAlign w:val="bottom"/>
            <w:hideMark/>
          </w:tcPr>
          <w:p w14:paraId="18E9505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-10</w:t>
            </w:r>
          </w:p>
        </w:tc>
      </w:tr>
      <w:tr w:rsidR="00B00ACA" w:rsidRPr="0022349C" w14:paraId="1CE60AE0" w14:textId="77777777" w:rsidTr="00C21F49">
        <w:trPr>
          <w:trHeight w:val="290"/>
        </w:trPr>
        <w:tc>
          <w:tcPr>
            <w:tcW w:w="5529" w:type="dxa"/>
            <w:tcBorders>
              <w:top w:val="nil"/>
              <w:left w:val="nil"/>
              <w:bottom w:val="single" w:sz="4" w:space="0" w:color="7E8083"/>
              <w:right w:val="nil"/>
            </w:tcBorders>
            <w:shd w:val="clear" w:color="auto" w:fill="auto"/>
            <w:vAlign w:val="center"/>
            <w:hideMark/>
          </w:tcPr>
          <w:p w14:paraId="5ADED124"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Impact des </w:t>
            </w:r>
            <w:proofErr w:type="spellStart"/>
            <w:r w:rsidRPr="0022349C">
              <w:rPr>
                <w:rFonts w:ascii="Tahoma" w:eastAsia="Times New Roman" w:hAnsi="Tahoma" w:cs="Tahoma"/>
                <w:color w:val="231F20"/>
                <w:sz w:val="20"/>
                <w:szCs w:val="20"/>
                <w:lang w:eastAsia="fr-FR"/>
              </w:rPr>
              <w:t>activités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abandonnées</w:t>
            </w:r>
            <w:proofErr w:type="spellEnd"/>
          </w:p>
        </w:tc>
        <w:tc>
          <w:tcPr>
            <w:tcW w:w="1701" w:type="dxa"/>
            <w:tcBorders>
              <w:top w:val="nil"/>
              <w:left w:val="nil"/>
              <w:bottom w:val="single" w:sz="4" w:space="0" w:color="7E8083"/>
              <w:right w:val="nil"/>
            </w:tcBorders>
            <w:shd w:val="clear" w:color="000000" w:fill="D7E1E1"/>
            <w:vAlign w:val="bottom"/>
            <w:hideMark/>
          </w:tcPr>
          <w:p w14:paraId="310A2DA4"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c>
          <w:tcPr>
            <w:tcW w:w="1701" w:type="dxa"/>
            <w:tcBorders>
              <w:top w:val="nil"/>
              <w:left w:val="nil"/>
              <w:bottom w:val="single" w:sz="4" w:space="0" w:color="7E8083"/>
              <w:right w:val="nil"/>
            </w:tcBorders>
            <w:shd w:val="clear" w:color="auto" w:fill="auto"/>
            <w:vAlign w:val="bottom"/>
            <w:hideMark/>
          </w:tcPr>
          <w:p w14:paraId="6E85C511"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3 040</w:t>
            </w:r>
          </w:p>
        </w:tc>
      </w:tr>
      <w:tr w:rsidR="00B00ACA" w:rsidRPr="0022349C" w14:paraId="5A3BD5EA" w14:textId="77777777" w:rsidTr="00C21F49">
        <w:trPr>
          <w:trHeight w:val="290"/>
        </w:trPr>
        <w:tc>
          <w:tcPr>
            <w:tcW w:w="5529" w:type="dxa"/>
            <w:tcBorders>
              <w:top w:val="nil"/>
              <w:left w:val="nil"/>
              <w:bottom w:val="single" w:sz="4" w:space="0" w:color="7E8083"/>
              <w:right w:val="nil"/>
            </w:tcBorders>
            <w:shd w:val="clear" w:color="auto" w:fill="auto"/>
            <w:vAlign w:val="center"/>
            <w:hideMark/>
          </w:tcPr>
          <w:p w14:paraId="403BE3DB" w14:textId="77777777" w:rsidR="00B00ACA" w:rsidRPr="00B00ACA" w:rsidRDefault="00B00ACA" w:rsidP="00C21F49">
            <w:pPr>
              <w:spacing w:after="0" w:line="240" w:lineRule="auto"/>
              <w:ind w:firstLineChars="100" w:firstLine="200"/>
              <w:rPr>
                <w:rFonts w:ascii="Tahoma" w:eastAsia="Times New Roman" w:hAnsi="Tahoma" w:cs="Tahoma"/>
                <w:color w:val="7A0000"/>
                <w:sz w:val="20"/>
                <w:szCs w:val="20"/>
                <w:lang w:val="fr-FR" w:eastAsia="fr-FR"/>
              </w:rPr>
            </w:pPr>
            <w:r w:rsidRPr="00B00ACA">
              <w:rPr>
                <w:rFonts w:ascii="Tahoma" w:eastAsia="Times New Roman" w:hAnsi="Tahoma" w:cs="Tahoma"/>
                <w:color w:val="7A0000"/>
                <w:sz w:val="20"/>
                <w:szCs w:val="20"/>
                <w:lang w:val="fr-FR" w:eastAsia="fr-FR"/>
              </w:rPr>
              <w:t xml:space="preserve">Capacité d'autofinancement après coût de l'endettement </w:t>
            </w:r>
          </w:p>
          <w:p w14:paraId="54A1100A" w14:textId="77777777" w:rsidR="00B00ACA" w:rsidRPr="0022349C" w:rsidRDefault="00B00ACA" w:rsidP="00C21F49">
            <w:pPr>
              <w:spacing w:after="0" w:line="240" w:lineRule="auto"/>
              <w:ind w:firstLineChars="100" w:firstLine="200"/>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 xml:space="preserve">financier net et </w:t>
            </w:r>
            <w:proofErr w:type="spellStart"/>
            <w:r w:rsidRPr="0022349C">
              <w:rPr>
                <w:rFonts w:ascii="Tahoma" w:eastAsia="Times New Roman" w:hAnsi="Tahoma" w:cs="Tahoma"/>
                <w:color w:val="7A0000"/>
                <w:sz w:val="20"/>
                <w:szCs w:val="20"/>
                <w:lang w:eastAsia="fr-FR"/>
              </w:rPr>
              <w:t>impôt</w:t>
            </w:r>
            <w:proofErr w:type="spellEnd"/>
          </w:p>
        </w:tc>
        <w:tc>
          <w:tcPr>
            <w:tcW w:w="1701" w:type="dxa"/>
            <w:tcBorders>
              <w:top w:val="nil"/>
              <w:left w:val="nil"/>
              <w:bottom w:val="single" w:sz="4" w:space="0" w:color="7E8083"/>
              <w:right w:val="nil"/>
            </w:tcBorders>
            <w:shd w:val="clear" w:color="000000" w:fill="D7E1E1"/>
            <w:vAlign w:val="bottom"/>
            <w:hideMark/>
          </w:tcPr>
          <w:p w14:paraId="41F13469"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31 305</w:t>
            </w:r>
          </w:p>
        </w:tc>
        <w:tc>
          <w:tcPr>
            <w:tcW w:w="1701" w:type="dxa"/>
            <w:tcBorders>
              <w:top w:val="nil"/>
              <w:left w:val="nil"/>
              <w:bottom w:val="single" w:sz="4" w:space="0" w:color="7E8083"/>
              <w:right w:val="nil"/>
            </w:tcBorders>
            <w:shd w:val="clear" w:color="auto" w:fill="auto"/>
            <w:vAlign w:val="bottom"/>
            <w:hideMark/>
          </w:tcPr>
          <w:p w14:paraId="5D7485BF"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35 224</w:t>
            </w:r>
          </w:p>
        </w:tc>
      </w:tr>
      <w:tr w:rsidR="00B00ACA" w:rsidRPr="0022349C" w14:paraId="37C4FB9D" w14:textId="77777777" w:rsidTr="00C21F49">
        <w:trPr>
          <w:trHeight w:val="120"/>
        </w:trPr>
        <w:tc>
          <w:tcPr>
            <w:tcW w:w="5529" w:type="dxa"/>
            <w:tcBorders>
              <w:top w:val="nil"/>
              <w:left w:val="nil"/>
              <w:bottom w:val="nil"/>
              <w:right w:val="nil"/>
            </w:tcBorders>
            <w:shd w:val="clear" w:color="auto" w:fill="auto"/>
            <w:vAlign w:val="center"/>
            <w:hideMark/>
          </w:tcPr>
          <w:p w14:paraId="448A5091"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p>
        </w:tc>
        <w:tc>
          <w:tcPr>
            <w:tcW w:w="1701" w:type="dxa"/>
            <w:tcBorders>
              <w:top w:val="nil"/>
              <w:left w:val="nil"/>
              <w:bottom w:val="nil"/>
              <w:right w:val="nil"/>
            </w:tcBorders>
            <w:shd w:val="clear" w:color="000000" w:fill="D7E1E1"/>
            <w:vAlign w:val="bottom"/>
            <w:hideMark/>
          </w:tcPr>
          <w:p w14:paraId="0941AD5C"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w:t>
            </w:r>
          </w:p>
        </w:tc>
        <w:tc>
          <w:tcPr>
            <w:tcW w:w="1701" w:type="dxa"/>
            <w:tcBorders>
              <w:top w:val="nil"/>
              <w:left w:val="nil"/>
              <w:bottom w:val="nil"/>
              <w:right w:val="nil"/>
            </w:tcBorders>
            <w:shd w:val="clear" w:color="auto" w:fill="auto"/>
            <w:vAlign w:val="bottom"/>
            <w:hideMark/>
          </w:tcPr>
          <w:p w14:paraId="37A45E5E"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p>
        </w:tc>
      </w:tr>
      <w:tr w:rsidR="00B00ACA" w:rsidRPr="0022349C" w14:paraId="4D0BEB5D" w14:textId="77777777" w:rsidTr="00C21F49">
        <w:trPr>
          <w:trHeight w:val="290"/>
        </w:trPr>
        <w:tc>
          <w:tcPr>
            <w:tcW w:w="5529" w:type="dxa"/>
            <w:tcBorders>
              <w:top w:val="nil"/>
              <w:left w:val="nil"/>
              <w:bottom w:val="nil"/>
              <w:right w:val="nil"/>
            </w:tcBorders>
            <w:shd w:val="clear" w:color="auto" w:fill="auto"/>
            <w:vAlign w:val="center"/>
            <w:hideMark/>
          </w:tcPr>
          <w:p w14:paraId="1AF58A1B"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Coût de l'endettement financier net</w:t>
            </w:r>
          </w:p>
        </w:tc>
        <w:tc>
          <w:tcPr>
            <w:tcW w:w="1701" w:type="dxa"/>
            <w:tcBorders>
              <w:top w:val="nil"/>
              <w:left w:val="nil"/>
              <w:bottom w:val="nil"/>
              <w:right w:val="nil"/>
            </w:tcBorders>
            <w:shd w:val="clear" w:color="000000" w:fill="D7E1E1"/>
            <w:vAlign w:val="bottom"/>
            <w:hideMark/>
          </w:tcPr>
          <w:p w14:paraId="58C00001"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12 555</w:t>
            </w:r>
          </w:p>
        </w:tc>
        <w:tc>
          <w:tcPr>
            <w:tcW w:w="1701" w:type="dxa"/>
            <w:tcBorders>
              <w:top w:val="nil"/>
              <w:left w:val="nil"/>
              <w:bottom w:val="nil"/>
              <w:right w:val="nil"/>
            </w:tcBorders>
            <w:shd w:val="clear" w:color="auto" w:fill="auto"/>
            <w:vAlign w:val="bottom"/>
            <w:hideMark/>
          </w:tcPr>
          <w:p w14:paraId="58CD0A2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7 233</w:t>
            </w:r>
          </w:p>
        </w:tc>
      </w:tr>
      <w:tr w:rsidR="00B00ACA" w:rsidRPr="0022349C" w14:paraId="13C417B4" w14:textId="77777777" w:rsidTr="00C21F49">
        <w:trPr>
          <w:trHeight w:val="290"/>
        </w:trPr>
        <w:tc>
          <w:tcPr>
            <w:tcW w:w="5529" w:type="dxa"/>
            <w:tcBorders>
              <w:top w:val="nil"/>
              <w:left w:val="nil"/>
              <w:bottom w:val="nil"/>
              <w:right w:val="nil"/>
            </w:tcBorders>
            <w:shd w:val="clear" w:color="auto" w:fill="auto"/>
            <w:vAlign w:val="center"/>
            <w:hideMark/>
          </w:tcPr>
          <w:p w14:paraId="5D511D29"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Charge d'impôt (y compris impôts différés)</w:t>
            </w:r>
          </w:p>
        </w:tc>
        <w:tc>
          <w:tcPr>
            <w:tcW w:w="1701" w:type="dxa"/>
            <w:tcBorders>
              <w:top w:val="nil"/>
              <w:left w:val="nil"/>
              <w:bottom w:val="nil"/>
              <w:right w:val="nil"/>
            </w:tcBorders>
            <w:shd w:val="clear" w:color="000000" w:fill="D7E1E1"/>
            <w:vAlign w:val="bottom"/>
            <w:hideMark/>
          </w:tcPr>
          <w:p w14:paraId="0BD88796"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5 113</w:t>
            </w:r>
          </w:p>
        </w:tc>
        <w:tc>
          <w:tcPr>
            <w:tcW w:w="1701" w:type="dxa"/>
            <w:tcBorders>
              <w:top w:val="nil"/>
              <w:left w:val="nil"/>
              <w:bottom w:val="nil"/>
              <w:right w:val="nil"/>
            </w:tcBorders>
            <w:shd w:val="clear" w:color="auto" w:fill="auto"/>
            <w:vAlign w:val="bottom"/>
            <w:hideMark/>
          </w:tcPr>
          <w:p w14:paraId="0CD6493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3 701</w:t>
            </w:r>
          </w:p>
        </w:tc>
      </w:tr>
      <w:tr w:rsidR="00B00ACA" w:rsidRPr="0022349C" w14:paraId="0876F9FC" w14:textId="77777777" w:rsidTr="00C21F49">
        <w:trPr>
          <w:trHeight w:val="290"/>
        </w:trPr>
        <w:tc>
          <w:tcPr>
            <w:tcW w:w="5529" w:type="dxa"/>
            <w:tcBorders>
              <w:top w:val="single" w:sz="4" w:space="0" w:color="808080"/>
              <w:left w:val="nil"/>
              <w:bottom w:val="single" w:sz="4" w:space="0" w:color="808080"/>
              <w:right w:val="nil"/>
            </w:tcBorders>
            <w:shd w:val="clear" w:color="auto" w:fill="auto"/>
            <w:vAlign w:val="center"/>
            <w:hideMark/>
          </w:tcPr>
          <w:p w14:paraId="64CE21DD" w14:textId="77777777" w:rsidR="00B00ACA" w:rsidRPr="00B00ACA" w:rsidRDefault="00B00ACA" w:rsidP="00C21F49">
            <w:pPr>
              <w:spacing w:after="0" w:line="240" w:lineRule="auto"/>
              <w:ind w:firstLineChars="100" w:firstLine="200"/>
              <w:rPr>
                <w:rFonts w:ascii="Tahoma" w:eastAsia="Times New Roman" w:hAnsi="Tahoma" w:cs="Tahoma"/>
                <w:color w:val="7A0000"/>
                <w:sz w:val="20"/>
                <w:szCs w:val="20"/>
                <w:lang w:val="fr-FR" w:eastAsia="fr-FR"/>
              </w:rPr>
            </w:pPr>
            <w:r w:rsidRPr="00B00ACA">
              <w:rPr>
                <w:rFonts w:ascii="Tahoma" w:eastAsia="Times New Roman" w:hAnsi="Tahoma" w:cs="Tahoma"/>
                <w:color w:val="7A0000"/>
                <w:sz w:val="20"/>
                <w:szCs w:val="20"/>
                <w:lang w:val="fr-FR" w:eastAsia="fr-FR"/>
              </w:rPr>
              <w:t>Capacité d'autofinancement avant coût de l'endettement</w:t>
            </w:r>
          </w:p>
          <w:p w14:paraId="52F61472" w14:textId="77777777" w:rsidR="00B00ACA" w:rsidRPr="0022349C" w:rsidRDefault="00B00ACA" w:rsidP="00C21F49">
            <w:pPr>
              <w:spacing w:after="0" w:line="240" w:lineRule="auto"/>
              <w:ind w:firstLineChars="100" w:firstLine="200"/>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 xml:space="preserve">financier net et </w:t>
            </w:r>
            <w:proofErr w:type="spellStart"/>
            <w:r w:rsidRPr="0022349C">
              <w:rPr>
                <w:rFonts w:ascii="Tahoma" w:eastAsia="Times New Roman" w:hAnsi="Tahoma" w:cs="Tahoma"/>
                <w:color w:val="7A0000"/>
                <w:sz w:val="20"/>
                <w:szCs w:val="20"/>
                <w:lang w:eastAsia="fr-FR"/>
              </w:rPr>
              <w:t>impôt</w:t>
            </w:r>
            <w:proofErr w:type="spellEnd"/>
          </w:p>
        </w:tc>
        <w:tc>
          <w:tcPr>
            <w:tcW w:w="1701" w:type="dxa"/>
            <w:tcBorders>
              <w:top w:val="single" w:sz="4" w:space="0" w:color="808080"/>
              <w:left w:val="nil"/>
              <w:bottom w:val="single" w:sz="4" w:space="0" w:color="808080"/>
              <w:right w:val="nil"/>
            </w:tcBorders>
            <w:shd w:val="clear" w:color="000000" w:fill="D7E1E1"/>
            <w:vAlign w:val="bottom"/>
            <w:hideMark/>
          </w:tcPr>
          <w:p w14:paraId="457B283D"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48 973</w:t>
            </w:r>
          </w:p>
        </w:tc>
        <w:tc>
          <w:tcPr>
            <w:tcW w:w="1701" w:type="dxa"/>
            <w:tcBorders>
              <w:top w:val="single" w:sz="4" w:space="0" w:color="808080"/>
              <w:left w:val="nil"/>
              <w:bottom w:val="single" w:sz="4" w:space="0" w:color="808080"/>
              <w:right w:val="nil"/>
            </w:tcBorders>
            <w:shd w:val="clear" w:color="auto" w:fill="auto"/>
            <w:vAlign w:val="bottom"/>
            <w:hideMark/>
          </w:tcPr>
          <w:p w14:paraId="20C3894C"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46 157</w:t>
            </w:r>
          </w:p>
        </w:tc>
      </w:tr>
      <w:tr w:rsidR="00B00ACA" w:rsidRPr="0022349C" w14:paraId="4E5A82E3" w14:textId="77777777" w:rsidTr="00C21F49">
        <w:trPr>
          <w:trHeight w:val="120"/>
        </w:trPr>
        <w:tc>
          <w:tcPr>
            <w:tcW w:w="5529" w:type="dxa"/>
            <w:tcBorders>
              <w:top w:val="nil"/>
              <w:left w:val="nil"/>
              <w:bottom w:val="nil"/>
              <w:right w:val="nil"/>
            </w:tcBorders>
            <w:shd w:val="clear" w:color="auto" w:fill="auto"/>
            <w:vAlign w:val="center"/>
            <w:hideMark/>
          </w:tcPr>
          <w:p w14:paraId="5760F610"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p>
        </w:tc>
        <w:tc>
          <w:tcPr>
            <w:tcW w:w="1701" w:type="dxa"/>
            <w:tcBorders>
              <w:top w:val="nil"/>
              <w:left w:val="nil"/>
              <w:bottom w:val="nil"/>
              <w:right w:val="nil"/>
            </w:tcBorders>
            <w:shd w:val="clear" w:color="000000" w:fill="D7E1E1"/>
            <w:vAlign w:val="bottom"/>
            <w:hideMark/>
          </w:tcPr>
          <w:p w14:paraId="3DCCA286"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w:t>
            </w:r>
          </w:p>
        </w:tc>
        <w:tc>
          <w:tcPr>
            <w:tcW w:w="1701" w:type="dxa"/>
            <w:tcBorders>
              <w:top w:val="nil"/>
              <w:left w:val="nil"/>
              <w:bottom w:val="nil"/>
              <w:right w:val="nil"/>
            </w:tcBorders>
            <w:shd w:val="clear" w:color="auto" w:fill="auto"/>
            <w:vAlign w:val="bottom"/>
            <w:hideMark/>
          </w:tcPr>
          <w:p w14:paraId="6E83B8EE"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p>
        </w:tc>
      </w:tr>
      <w:tr w:rsidR="00B00ACA" w:rsidRPr="0022349C" w14:paraId="37869377" w14:textId="77777777" w:rsidTr="00C21F49">
        <w:trPr>
          <w:trHeight w:val="290"/>
        </w:trPr>
        <w:tc>
          <w:tcPr>
            <w:tcW w:w="5529" w:type="dxa"/>
            <w:tcBorders>
              <w:top w:val="nil"/>
              <w:left w:val="nil"/>
              <w:bottom w:val="nil"/>
              <w:right w:val="nil"/>
            </w:tcBorders>
            <w:shd w:val="clear" w:color="auto" w:fill="auto"/>
            <w:vAlign w:val="center"/>
            <w:hideMark/>
          </w:tcPr>
          <w:p w14:paraId="015C2532"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Impôt</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versé</w:t>
            </w:r>
            <w:proofErr w:type="spellEnd"/>
          </w:p>
        </w:tc>
        <w:tc>
          <w:tcPr>
            <w:tcW w:w="1701" w:type="dxa"/>
            <w:tcBorders>
              <w:top w:val="nil"/>
              <w:left w:val="nil"/>
              <w:bottom w:val="nil"/>
              <w:right w:val="nil"/>
            </w:tcBorders>
            <w:shd w:val="clear" w:color="000000" w:fill="D7E1E1"/>
            <w:vAlign w:val="bottom"/>
            <w:hideMark/>
          </w:tcPr>
          <w:p w14:paraId="470BA3C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-5 781</w:t>
            </w:r>
          </w:p>
        </w:tc>
        <w:tc>
          <w:tcPr>
            <w:tcW w:w="1701" w:type="dxa"/>
            <w:tcBorders>
              <w:top w:val="nil"/>
              <w:left w:val="nil"/>
              <w:bottom w:val="nil"/>
              <w:right w:val="nil"/>
            </w:tcBorders>
            <w:shd w:val="clear" w:color="auto" w:fill="auto"/>
            <w:vAlign w:val="bottom"/>
            <w:hideMark/>
          </w:tcPr>
          <w:p w14:paraId="24965D50"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-3 151</w:t>
            </w:r>
          </w:p>
        </w:tc>
      </w:tr>
      <w:tr w:rsidR="00B00ACA" w:rsidRPr="0022349C" w14:paraId="6BA72408" w14:textId="77777777" w:rsidTr="00C21F49">
        <w:trPr>
          <w:trHeight w:val="290"/>
        </w:trPr>
        <w:tc>
          <w:tcPr>
            <w:tcW w:w="5529" w:type="dxa"/>
            <w:tcBorders>
              <w:top w:val="nil"/>
              <w:left w:val="nil"/>
              <w:bottom w:val="nil"/>
              <w:right w:val="nil"/>
            </w:tcBorders>
            <w:shd w:val="clear" w:color="auto" w:fill="auto"/>
            <w:vAlign w:val="center"/>
            <w:hideMark/>
          </w:tcPr>
          <w:p w14:paraId="40D4080F"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Variation du BFR lié à l'activité</w:t>
            </w:r>
          </w:p>
        </w:tc>
        <w:tc>
          <w:tcPr>
            <w:tcW w:w="1701" w:type="dxa"/>
            <w:tcBorders>
              <w:top w:val="nil"/>
              <w:left w:val="nil"/>
              <w:bottom w:val="nil"/>
              <w:right w:val="nil"/>
            </w:tcBorders>
            <w:shd w:val="clear" w:color="000000" w:fill="D7E1E1"/>
            <w:vAlign w:val="bottom"/>
            <w:hideMark/>
          </w:tcPr>
          <w:p w14:paraId="2145FA66"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-10 434</w:t>
            </w:r>
          </w:p>
        </w:tc>
        <w:tc>
          <w:tcPr>
            <w:tcW w:w="1701" w:type="dxa"/>
            <w:tcBorders>
              <w:top w:val="nil"/>
              <w:left w:val="nil"/>
              <w:bottom w:val="nil"/>
              <w:right w:val="nil"/>
            </w:tcBorders>
            <w:shd w:val="clear" w:color="auto" w:fill="auto"/>
            <w:vAlign w:val="bottom"/>
            <w:hideMark/>
          </w:tcPr>
          <w:p w14:paraId="14A3D175"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6 145</w:t>
            </w:r>
          </w:p>
        </w:tc>
      </w:tr>
      <w:tr w:rsidR="00B00ACA" w:rsidRPr="0022349C" w14:paraId="34B23A43" w14:textId="77777777" w:rsidTr="00C21F49">
        <w:trPr>
          <w:trHeight w:val="290"/>
        </w:trPr>
        <w:tc>
          <w:tcPr>
            <w:tcW w:w="5529" w:type="dxa"/>
            <w:tcBorders>
              <w:top w:val="nil"/>
              <w:left w:val="nil"/>
              <w:bottom w:val="nil"/>
              <w:right w:val="nil"/>
            </w:tcBorders>
            <w:shd w:val="clear" w:color="auto" w:fill="auto"/>
            <w:vAlign w:val="center"/>
            <w:hideMark/>
          </w:tcPr>
          <w:p w14:paraId="061E3F65"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Autres flux liés aux activités opérationnelles</w:t>
            </w:r>
          </w:p>
        </w:tc>
        <w:tc>
          <w:tcPr>
            <w:tcW w:w="1701" w:type="dxa"/>
            <w:tcBorders>
              <w:top w:val="nil"/>
              <w:left w:val="nil"/>
              <w:bottom w:val="nil"/>
              <w:right w:val="nil"/>
            </w:tcBorders>
            <w:shd w:val="clear" w:color="000000" w:fill="D7E1E1"/>
            <w:vAlign w:val="bottom"/>
            <w:hideMark/>
          </w:tcPr>
          <w:p w14:paraId="5172BC2A"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c>
          <w:tcPr>
            <w:tcW w:w="1701" w:type="dxa"/>
            <w:tcBorders>
              <w:top w:val="nil"/>
              <w:left w:val="nil"/>
              <w:bottom w:val="nil"/>
              <w:right w:val="nil"/>
            </w:tcBorders>
            <w:shd w:val="clear" w:color="auto" w:fill="auto"/>
            <w:vAlign w:val="bottom"/>
            <w:hideMark/>
          </w:tcPr>
          <w:p w14:paraId="39A9731F"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r>
      <w:tr w:rsidR="00B00ACA" w:rsidRPr="0022349C" w14:paraId="090F13A0" w14:textId="77777777" w:rsidTr="00C21F49">
        <w:trPr>
          <w:trHeight w:val="290"/>
        </w:trPr>
        <w:tc>
          <w:tcPr>
            <w:tcW w:w="5529" w:type="dxa"/>
            <w:tcBorders>
              <w:top w:val="nil"/>
              <w:left w:val="nil"/>
              <w:bottom w:val="nil"/>
              <w:right w:val="nil"/>
            </w:tcBorders>
            <w:shd w:val="clear" w:color="auto" w:fill="auto"/>
            <w:vAlign w:val="center"/>
            <w:hideMark/>
          </w:tcPr>
          <w:p w14:paraId="3471F98D"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Impact des </w:t>
            </w:r>
            <w:proofErr w:type="spellStart"/>
            <w:r w:rsidRPr="0022349C">
              <w:rPr>
                <w:rFonts w:ascii="Tahoma" w:eastAsia="Times New Roman" w:hAnsi="Tahoma" w:cs="Tahoma"/>
                <w:color w:val="231F20"/>
                <w:sz w:val="20"/>
                <w:szCs w:val="20"/>
                <w:lang w:eastAsia="fr-FR"/>
              </w:rPr>
              <w:t>activités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abandonnées</w:t>
            </w:r>
            <w:proofErr w:type="spellEnd"/>
          </w:p>
        </w:tc>
        <w:tc>
          <w:tcPr>
            <w:tcW w:w="1701" w:type="dxa"/>
            <w:tcBorders>
              <w:top w:val="nil"/>
              <w:left w:val="nil"/>
              <w:bottom w:val="nil"/>
              <w:right w:val="nil"/>
            </w:tcBorders>
            <w:shd w:val="clear" w:color="000000" w:fill="D7E1E1"/>
            <w:vAlign w:val="bottom"/>
            <w:hideMark/>
          </w:tcPr>
          <w:p w14:paraId="137F6E91"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1 512</w:t>
            </w:r>
          </w:p>
        </w:tc>
        <w:tc>
          <w:tcPr>
            <w:tcW w:w="1701" w:type="dxa"/>
            <w:tcBorders>
              <w:top w:val="nil"/>
              <w:left w:val="nil"/>
              <w:bottom w:val="nil"/>
              <w:right w:val="nil"/>
            </w:tcBorders>
            <w:shd w:val="clear" w:color="auto" w:fill="auto"/>
            <w:vAlign w:val="bottom"/>
            <w:hideMark/>
          </w:tcPr>
          <w:p w14:paraId="1AC16A1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2 878</w:t>
            </w:r>
          </w:p>
        </w:tc>
      </w:tr>
      <w:tr w:rsidR="00B00ACA" w:rsidRPr="0022349C" w14:paraId="7902F6B7" w14:textId="77777777" w:rsidTr="00C21F49">
        <w:trPr>
          <w:trHeight w:val="290"/>
        </w:trPr>
        <w:tc>
          <w:tcPr>
            <w:tcW w:w="5529" w:type="dxa"/>
            <w:tcBorders>
              <w:top w:val="single" w:sz="4" w:space="0" w:color="808080"/>
              <w:left w:val="nil"/>
              <w:bottom w:val="single" w:sz="4" w:space="0" w:color="808080"/>
              <w:right w:val="nil"/>
            </w:tcBorders>
            <w:shd w:val="clear" w:color="auto" w:fill="auto"/>
            <w:vAlign w:val="center"/>
            <w:hideMark/>
          </w:tcPr>
          <w:p w14:paraId="2270A7DC" w14:textId="77777777" w:rsidR="00B00ACA" w:rsidRPr="00B00ACA" w:rsidRDefault="00B00ACA" w:rsidP="00C21F49">
            <w:pPr>
              <w:spacing w:after="0" w:line="240" w:lineRule="auto"/>
              <w:ind w:firstLineChars="100" w:firstLine="200"/>
              <w:rPr>
                <w:rFonts w:ascii="Tahoma" w:eastAsia="Times New Roman" w:hAnsi="Tahoma" w:cs="Tahoma"/>
                <w:color w:val="7A0000"/>
                <w:sz w:val="20"/>
                <w:szCs w:val="20"/>
                <w:lang w:val="fr-FR" w:eastAsia="fr-FR"/>
              </w:rPr>
            </w:pPr>
            <w:r w:rsidRPr="00B00ACA">
              <w:rPr>
                <w:rFonts w:ascii="Tahoma" w:eastAsia="Times New Roman" w:hAnsi="Tahoma" w:cs="Tahoma"/>
                <w:color w:val="7A0000"/>
                <w:sz w:val="20"/>
                <w:szCs w:val="20"/>
                <w:lang w:val="fr-FR" w:eastAsia="fr-FR"/>
              </w:rPr>
              <w:t>Flux de trésorerie liés aux activités opérationnelles</w:t>
            </w:r>
          </w:p>
        </w:tc>
        <w:tc>
          <w:tcPr>
            <w:tcW w:w="1701" w:type="dxa"/>
            <w:tcBorders>
              <w:top w:val="single" w:sz="4" w:space="0" w:color="808080"/>
              <w:left w:val="nil"/>
              <w:bottom w:val="single" w:sz="4" w:space="0" w:color="808080"/>
              <w:right w:val="nil"/>
            </w:tcBorders>
            <w:shd w:val="clear" w:color="000000" w:fill="D7E1E1"/>
            <w:vAlign w:val="bottom"/>
            <w:hideMark/>
          </w:tcPr>
          <w:p w14:paraId="56E46861"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34 270</w:t>
            </w:r>
          </w:p>
        </w:tc>
        <w:tc>
          <w:tcPr>
            <w:tcW w:w="1701" w:type="dxa"/>
            <w:tcBorders>
              <w:top w:val="single" w:sz="4" w:space="0" w:color="808080"/>
              <w:left w:val="nil"/>
              <w:bottom w:val="single" w:sz="4" w:space="0" w:color="808080"/>
              <w:right w:val="nil"/>
            </w:tcBorders>
            <w:shd w:val="clear" w:color="auto" w:fill="auto"/>
            <w:vAlign w:val="bottom"/>
            <w:hideMark/>
          </w:tcPr>
          <w:p w14:paraId="138539B1"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52 030</w:t>
            </w:r>
          </w:p>
        </w:tc>
      </w:tr>
      <w:tr w:rsidR="00B00ACA" w:rsidRPr="0022349C" w14:paraId="3CC49448" w14:textId="77777777" w:rsidTr="00C21F49">
        <w:trPr>
          <w:trHeight w:val="120"/>
        </w:trPr>
        <w:tc>
          <w:tcPr>
            <w:tcW w:w="5529" w:type="dxa"/>
            <w:tcBorders>
              <w:top w:val="nil"/>
              <w:left w:val="nil"/>
              <w:bottom w:val="nil"/>
              <w:right w:val="nil"/>
            </w:tcBorders>
            <w:shd w:val="clear" w:color="auto" w:fill="auto"/>
            <w:vAlign w:val="center"/>
            <w:hideMark/>
          </w:tcPr>
          <w:p w14:paraId="01BFCC43"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p>
        </w:tc>
        <w:tc>
          <w:tcPr>
            <w:tcW w:w="1701" w:type="dxa"/>
            <w:tcBorders>
              <w:top w:val="nil"/>
              <w:left w:val="nil"/>
              <w:bottom w:val="nil"/>
              <w:right w:val="nil"/>
            </w:tcBorders>
            <w:shd w:val="clear" w:color="000000" w:fill="D7E1E1"/>
            <w:vAlign w:val="bottom"/>
            <w:hideMark/>
          </w:tcPr>
          <w:p w14:paraId="360BCA88"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w:t>
            </w:r>
          </w:p>
        </w:tc>
        <w:tc>
          <w:tcPr>
            <w:tcW w:w="1701" w:type="dxa"/>
            <w:tcBorders>
              <w:top w:val="nil"/>
              <w:left w:val="nil"/>
              <w:bottom w:val="nil"/>
              <w:right w:val="nil"/>
            </w:tcBorders>
            <w:shd w:val="clear" w:color="auto" w:fill="auto"/>
            <w:vAlign w:val="bottom"/>
            <w:hideMark/>
          </w:tcPr>
          <w:p w14:paraId="7D6592F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p>
        </w:tc>
      </w:tr>
      <w:tr w:rsidR="00B00ACA" w:rsidRPr="0022349C" w14:paraId="27E3446E" w14:textId="77777777" w:rsidTr="00C21F49">
        <w:trPr>
          <w:trHeight w:val="290"/>
        </w:trPr>
        <w:tc>
          <w:tcPr>
            <w:tcW w:w="5529" w:type="dxa"/>
            <w:tcBorders>
              <w:top w:val="nil"/>
              <w:left w:val="nil"/>
              <w:bottom w:val="nil"/>
              <w:right w:val="nil"/>
            </w:tcBorders>
            <w:shd w:val="clear" w:color="auto" w:fill="auto"/>
            <w:vAlign w:val="center"/>
            <w:hideMark/>
          </w:tcPr>
          <w:p w14:paraId="5C79539D"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Incidence des variations de périmètre</w:t>
            </w:r>
          </w:p>
        </w:tc>
        <w:tc>
          <w:tcPr>
            <w:tcW w:w="1701" w:type="dxa"/>
            <w:tcBorders>
              <w:top w:val="nil"/>
              <w:left w:val="nil"/>
              <w:bottom w:val="nil"/>
              <w:right w:val="nil"/>
            </w:tcBorders>
            <w:shd w:val="clear" w:color="000000" w:fill="D7E1E1"/>
            <w:vAlign w:val="bottom"/>
            <w:hideMark/>
          </w:tcPr>
          <w:p w14:paraId="3589967C"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12 741</w:t>
            </w:r>
          </w:p>
        </w:tc>
        <w:tc>
          <w:tcPr>
            <w:tcW w:w="1701" w:type="dxa"/>
            <w:tcBorders>
              <w:top w:val="nil"/>
              <w:left w:val="nil"/>
              <w:bottom w:val="nil"/>
              <w:right w:val="nil"/>
            </w:tcBorders>
            <w:shd w:val="clear" w:color="auto" w:fill="auto"/>
            <w:vAlign w:val="bottom"/>
            <w:hideMark/>
          </w:tcPr>
          <w:p w14:paraId="7A5EF4D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-16 287</w:t>
            </w:r>
          </w:p>
        </w:tc>
      </w:tr>
      <w:tr w:rsidR="00B00ACA" w:rsidRPr="0022349C" w14:paraId="7CD5AB3C" w14:textId="77777777" w:rsidTr="00C21F49">
        <w:trPr>
          <w:trHeight w:val="290"/>
        </w:trPr>
        <w:tc>
          <w:tcPr>
            <w:tcW w:w="5529" w:type="dxa"/>
            <w:tcBorders>
              <w:top w:val="nil"/>
              <w:left w:val="nil"/>
              <w:bottom w:val="nil"/>
              <w:right w:val="nil"/>
            </w:tcBorders>
            <w:shd w:val="clear" w:color="auto" w:fill="auto"/>
            <w:vAlign w:val="center"/>
            <w:hideMark/>
          </w:tcPr>
          <w:p w14:paraId="54C4FA83"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Acquisition d'immobilisations corporelles et incorporelles</w:t>
            </w:r>
          </w:p>
        </w:tc>
        <w:tc>
          <w:tcPr>
            <w:tcW w:w="1701" w:type="dxa"/>
            <w:tcBorders>
              <w:top w:val="nil"/>
              <w:left w:val="nil"/>
              <w:bottom w:val="nil"/>
              <w:right w:val="nil"/>
            </w:tcBorders>
            <w:shd w:val="clear" w:color="000000" w:fill="D7E1E1"/>
            <w:vAlign w:val="bottom"/>
            <w:hideMark/>
          </w:tcPr>
          <w:p w14:paraId="23CB6987"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-25 960</w:t>
            </w:r>
          </w:p>
        </w:tc>
        <w:tc>
          <w:tcPr>
            <w:tcW w:w="1701" w:type="dxa"/>
            <w:tcBorders>
              <w:top w:val="nil"/>
              <w:left w:val="nil"/>
              <w:bottom w:val="nil"/>
              <w:right w:val="nil"/>
            </w:tcBorders>
            <w:shd w:val="clear" w:color="auto" w:fill="auto"/>
            <w:vAlign w:val="bottom"/>
            <w:hideMark/>
          </w:tcPr>
          <w:p w14:paraId="4D9C362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-25 858</w:t>
            </w:r>
          </w:p>
        </w:tc>
      </w:tr>
      <w:tr w:rsidR="00B00ACA" w:rsidRPr="0022349C" w14:paraId="7568DBCC" w14:textId="77777777" w:rsidTr="00C21F49">
        <w:trPr>
          <w:trHeight w:val="290"/>
        </w:trPr>
        <w:tc>
          <w:tcPr>
            <w:tcW w:w="5529" w:type="dxa"/>
            <w:tcBorders>
              <w:top w:val="nil"/>
              <w:left w:val="nil"/>
              <w:bottom w:val="nil"/>
              <w:right w:val="nil"/>
            </w:tcBorders>
            <w:shd w:val="clear" w:color="auto" w:fill="auto"/>
            <w:vAlign w:val="center"/>
            <w:hideMark/>
          </w:tcPr>
          <w:p w14:paraId="2C172ACA"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Cession d'immobilisations corporelles et incorporelles</w:t>
            </w:r>
          </w:p>
        </w:tc>
        <w:tc>
          <w:tcPr>
            <w:tcW w:w="1701" w:type="dxa"/>
            <w:tcBorders>
              <w:top w:val="nil"/>
              <w:left w:val="nil"/>
              <w:bottom w:val="nil"/>
              <w:right w:val="nil"/>
            </w:tcBorders>
            <w:shd w:val="clear" w:color="000000" w:fill="D7E1E1"/>
            <w:vAlign w:val="bottom"/>
            <w:hideMark/>
          </w:tcPr>
          <w:p w14:paraId="0FD142F4"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289</w:t>
            </w:r>
          </w:p>
        </w:tc>
        <w:tc>
          <w:tcPr>
            <w:tcW w:w="1701" w:type="dxa"/>
            <w:tcBorders>
              <w:top w:val="nil"/>
              <w:left w:val="nil"/>
              <w:bottom w:val="nil"/>
              <w:right w:val="nil"/>
            </w:tcBorders>
            <w:shd w:val="clear" w:color="auto" w:fill="auto"/>
            <w:vAlign w:val="bottom"/>
            <w:hideMark/>
          </w:tcPr>
          <w:p w14:paraId="6A024DA0"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521</w:t>
            </w:r>
          </w:p>
        </w:tc>
      </w:tr>
      <w:tr w:rsidR="00B00ACA" w:rsidRPr="0022349C" w14:paraId="08219891" w14:textId="77777777" w:rsidTr="00C21F49">
        <w:trPr>
          <w:trHeight w:val="290"/>
        </w:trPr>
        <w:tc>
          <w:tcPr>
            <w:tcW w:w="5529" w:type="dxa"/>
            <w:tcBorders>
              <w:top w:val="nil"/>
              <w:left w:val="nil"/>
              <w:bottom w:val="nil"/>
              <w:right w:val="nil"/>
            </w:tcBorders>
            <w:shd w:val="clear" w:color="auto" w:fill="auto"/>
            <w:vAlign w:val="center"/>
            <w:hideMark/>
          </w:tcPr>
          <w:p w14:paraId="52C517CC"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Acquisition </w:t>
            </w:r>
            <w:proofErr w:type="spellStart"/>
            <w:r w:rsidRPr="0022349C">
              <w:rPr>
                <w:rFonts w:ascii="Tahoma" w:eastAsia="Times New Roman" w:hAnsi="Tahoma" w:cs="Tahoma"/>
                <w:color w:val="231F20"/>
                <w:sz w:val="20"/>
                <w:szCs w:val="20"/>
                <w:lang w:eastAsia="fr-FR"/>
              </w:rPr>
              <w:t>d'actifs</w:t>
            </w:r>
            <w:proofErr w:type="spellEnd"/>
            <w:r w:rsidRPr="0022349C">
              <w:rPr>
                <w:rFonts w:ascii="Tahoma" w:eastAsia="Times New Roman" w:hAnsi="Tahoma" w:cs="Tahoma"/>
                <w:color w:val="231F20"/>
                <w:sz w:val="20"/>
                <w:szCs w:val="20"/>
                <w:lang w:eastAsia="fr-FR"/>
              </w:rPr>
              <w:t xml:space="preserve"> financiers</w:t>
            </w:r>
          </w:p>
        </w:tc>
        <w:tc>
          <w:tcPr>
            <w:tcW w:w="1701" w:type="dxa"/>
            <w:tcBorders>
              <w:top w:val="nil"/>
              <w:left w:val="nil"/>
              <w:bottom w:val="nil"/>
              <w:right w:val="nil"/>
            </w:tcBorders>
            <w:shd w:val="clear" w:color="000000" w:fill="D7E1E1"/>
            <w:vAlign w:val="bottom"/>
            <w:hideMark/>
          </w:tcPr>
          <w:p w14:paraId="6E2EBC28"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-719</w:t>
            </w:r>
          </w:p>
        </w:tc>
        <w:tc>
          <w:tcPr>
            <w:tcW w:w="1701" w:type="dxa"/>
            <w:tcBorders>
              <w:top w:val="nil"/>
              <w:left w:val="nil"/>
              <w:bottom w:val="nil"/>
              <w:right w:val="nil"/>
            </w:tcBorders>
            <w:shd w:val="clear" w:color="auto" w:fill="auto"/>
            <w:vAlign w:val="bottom"/>
            <w:hideMark/>
          </w:tcPr>
          <w:p w14:paraId="11F53C9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-1 259</w:t>
            </w:r>
          </w:p>
        </w:tc>
      </w:tr>
      <w:tr w:rsidR="00B00ACA" w:rsidRPr="0022349C" w14:paraId="41DE7E79" w14:textId="77777777" w:rsidTr="00C21F49">
        <w:trPr>
          <w:trHeight w:val="290"/>
        </w:trPr>
        <w:tc>
          <w:tcPr>
            <w:tcW w:w="5529" w:type="dxa"/>
            <w:tcBorders>
              <w:top w:val="nil"/>
              <w:left w:val="nil"/>
              <w:bottom w:val="nil"/>
              <w:right w:val="nil"/>
            </w:tcBorders>
            <w:shd w:val="clear" w:color="auto" w:fill="auto"/>
            <w:vAlign w:val="center"/>
            <w:hideMark/>
          </w:tcPr>
          <w:p w14:paraId="0BE698E5"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Cession </w:t>
            </w:r>
            <w:proofErr w:type="spellStart"/>
            <w:r w:rsidRPr="0022349C">
              <w:rPr>
                <w:rFonts w:ascii="Tahoma" w:eastAsia="Times New Roman" w:hAnsi="Tahoma" w:cs="Tahoma"/>
                <w:color w:val="231F20"/>
                <w:sz w:val="20"/>
                <w:szCs w:val="20"/>
                <w:lang w:eastAsia="fr-FR"/>
              </w:rPr>
              <w:t>d'actifs</w:t>
            </w:r>
            <w:proofErr w:type="spellEnd"/>
            <w:r w:rsidRPr="0022349C">
              <w:rPr>
                <w:rFonts w:ascii="Tahoma" w:eastAsia="Times New Roman" w:hAnsi="Tahoma" w:cs="Tahoma"/>
                <w:color w:val="231F20"/>
                <w:sz w:val="20"/>
                <w:szCs w:val="20"/>
                <w:lang w:eastAsia="fr-FR"/>
              </w:rPr>
              <w:t xml:space="preserve"> financiers</w:t>
            </w:r>
          </w:p>
        </w:tc>
        <w:tc>
          <w:tcPr>
            <w:tcW w:w="1701" w:type="dxa"/>
            <w:tcBorders>
              <w:top w:val="nil"/>
              <w:left w:val="nil"/>
              <w:bottom w:val="nil"/>
              <w:right w:val="nil"/>
            </w:tcBorders>
            <w:shd w:val="clear" w:color="000000" w:fill="D7E1E1"/>
            <w:vAlign w:val="bottom"/>
            <w:hideMark/>
          </w:tcPr>
          <w:p w14:paraId="28842EB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473</w:t>
            </w:r>
          </w:p>
        </w:tc>
        <w:tc>
          <w:tcPr>
            <w:tcW w:w="1701" w:type="dxa"/>
            <w:tcBorders>
              <w:top w:val="nil"/>
              <w:left w:val="nil"/>
              <w:bottom w:val="nil"/>
              <w:right w:val="nil"/>
            </w:tcBorders>
            <w:shd w:val="clear" w:color="auto" w:fill="auto"/>
            <w:vAlign w:val="bottom"/>
            <w:hideMark/>
          </w:tcPr>
          <w:p w14:paraId="720195D8"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112</w:t>
            </w:r>
          </w:p>
        </w:tc>
      </w:tr>
      <w:tr w:rsidR="00B00ACA" w:rsidRPr="0022349C" w14:paraId="7117986A" w14:textId="77777777" w:rsidTr="00C21F49">
        <w:trPr>
          <w:trHeight w:val="290"/>
        </w:trPr>
        <w:tc>
          <w:tcPr>
            <w:tcW w:w="5529" w:type="dxa"/>
            <w:tcBorders>
              <w:top w:val="nil"/>
              <w:left w:val="nil"/>
              <w:bottom w:val="nil"/>
              <w:right w:val="nil"/>
            </w:tcBorders>
            <w:shd w:val="clear" w:color="auto" w:fill="auto"/>
            <w:vAlign w:val="center"/>
            <w:hideMark/>
          </w:tcPr>
          <w:p w14:paraId="0FA6BD4E"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Variation des prêts et avances consentis</w:t>
            </w:r>
          </w:p>
        </w:tc>
        <w:tc>
          <w:tcPr>
            <w:tcW w:w="1701" w:type="dxa"/>
            <w:tcBorders>
              <w:top w:val="nil"/>
              <w:left w:val="nil"/>
              <w:bottom w:val="nil"/>
              <w:right w:val="nil"/>
            </w:tcBorders>
            <w:shd w:val="clear" w:color="000000" w:fill="D7E1E1"/>
            <w:vAlign w:val="bottom"/>
            <w:hideMark/>
          </w:tcPr>
          <w:p w14:paraId="0AB9088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-493</w:t>
            </w:r>
          </w:p>
        </w:tc>
        <w:tc>
          <w:tcPr>
            <w:tcW w:w="1701" w:type="dxa"/>
            <w:tcBorders>
              <w:top w:val="nil"/>
              <w:left w:val="nil"/>
              <w:bottom w:val="nil"/>
              <w:right w:val="nil"/>
            </w:tcBorders>
            <w:shd w:val="clear" w:color="auto" w:fill="auto"/>
            <w:vAlign w:val="bottom"/>
            <w:hideMark/>
          </w:tcPr>
          <w:p w14:paraId="7789809A"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-265</w:t>
            </w:r>
          </w:p>
        </w:tc>
      </w:tr>
      <w:tr w:rsidR="00B00ACA" w:rsidRPr="0022349C" w14:paraId="0105E9A6" w14:textId="77777777" w:rsidTr="00C21F49">
        <w:trPr>
          <w:trHeight w:val="290"/>
        </w:trPr>
        <w:tc>
          <w:tcPr>
            <w:tcW w:w="5529" w:type="dxa"/>
            <w:tcBorders>
              <w:top w:val="nil"/>
              <w:left w:val="nil"/>
              <w:bottom w:val="nil"/>
              <w:right w:val="nil"/>
            </w:tcBorders>
            <w:shd w:val="clear" w:color="auto" w:fill="auto"/>
            <w:vAlign w:val="center"/>
            <w:hideMark/>
          </w:tcPr>
          <w:p w14:paraId="313F201B"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Dividendes reçus sur titres non consolidés</w:t>
            </w:r>
          </w:p>
        </w:tc>
        <w:tc>
          <w:tcPr>
            <w:tcW w:w="1701" w:type="dxa"/>
            <w:tcBorders>
              <w:top w:val="nil"/>
              <w:left w:val="nil"/>
              <w:bottom w:val="nil"/>
              <w:right w:val="nil"/>
            </w:tcBorders>
            <w:shd w:val="clear" w:color="000000" w:fill="D7E1E1"/>
            <w:vAlign w:val="bottom"/>
            <w:hideMark/>
          </w:tcPr>
          <w:p w14:paraId="5DBF808D"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42</w:t>
            </w:r>
          </w:p>
        </w:tc>
        <w:tc>
          <w:tcPr>
            <w:tcW w:w="1701" w:type="dxa"/>
            <w:tcBorders>
              <w:top w:val="nil"/>
              <w:left w:val="nil"/>
              <w:bottom w:val="nil"/>
              <w:right w:val="nil"/>
            </w:tcBorders>
            <w:shd w:val="clear" w:color="auto" w:fill="auto"/>
            <w:vAlign w:val="bottom"/>
            <w:hideMark/>
          </w:tcPr>
          <w:p w14:paraId="16B38BC6"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10</w:t>
            </w:r>
          </w:p>
        </w:tc>
      </w:tr>
      <w:tr w:rsidR="00B00ACA" w:rsidRPr="0022349C" w14:paraId="7790B72A" w14:textId="77777777" w:rsidTr="00C21F49">
        <w:trPr>
          <w:trHeight w:val="290"/>
        </w:trPr>
        <w:tc>
          <w:tcPr>
            <w:tcW w:w="5529" w:type="dxa"/>
            <w:tcBorders>
              <w:top w:val="nil"/>
              <w:left w:val="nil"/>
              <w:bottom w:val="nil"/>
              <w:right w:val="nil"/>
            </w:tcBorders>
            <w:shd w:val="clear" w:color="auto" w:fill="auto"/>
            <w:vAlign w:val="center"/>
            <w:hideMark/>
          </w:tcPr>
          <w:p w14:paraId="5AE13A0E"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Autres flux liés aux opérations d'investissement</w:t>
            </w:r>
          </w:p>
        </w:tc>
        <w:tc>
          <w:tcPr>
            <w:tcW w:w="1701" w:type="dxa"/>
            <w:tcBorders>
              <w:top w:val="nil"/>
              <w:left w:val="nil"/>
              <w:bottom w:val="nil"/>
              <w:right w:val="nil"/>
            </w:tcBorders>
            <w:shd w:val="clear" w:color="000000" w:fill="D7E1E1"/>
            <w:vAlign w:val="bottom"/>
            <w:hideMark/>
          </w:tcPr>
          <w:p w14:paraId="0D7D0022"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c>
          <w:tcPr>
            <w:tcW w:w="1701" w:type="dxa"/>
            <w:tcBorders>
              <w:top w:val="nil"/>
              <w:left w:val="nil"/>
              <w:bottom w:val="nil"/>
              <w:right w:val="nil"/>
            </w:tcBorders>
            <w:shd w:val="clear" w:color="auto" w:fill="auto"/>
            <w:vAlign w:val="bottom"/>
            <w:hideMark/>
          </w:tcPr>
          <w:p w14:paraId="0F7ADD8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r>
      <w:tr w:rsidR="00B00ACA" w:rsidRPr="0022349C" w14:paraId="6A5E7014" w14:textId="77777777" w:rsidTr="00C21F49">
        <w:trPr>
          <w:trHeight w:val="290"/>
        </w:trPr>
        <w:tc>
          <w:tcPr>
            <w:tcW w:w="5529" w:type="dxa"/>
            <w:tcBorders>
              <w:top w:val="nil"/>
              <w:left w:val="nil"/>
              <w:bottom w:val="nil"/>
              <w:right w:val="nil"/>
            </w:tcBorders>
            <w:shd w:val="clear" w:color="auto" w:fill="auto"/>
            <w:vAlign w:val="center"/>
            <w:hideMark/>
          </w:tcPr>
          <w:p w14:paraId="05CFB887"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Impact des </w:t>
            </w:r>
            <w:proofErr w:type="spellStart"/>
            <w:r w:rsidRPr="0022349C">
              <w:rPr>
                <w:rFonts w:ascii="Tahoma" w:eastAsia="Times New Roman" w:hAnsi="Tahoma" w:cs="Tahoma"/>
                <w:color w:val="231F20"/>
                <w:sz w:val="20"/>
                <w:szCs w:val="20"/>
                <w:lang w:eastAsia="fr-FR"/>
              </w:rPr>
              <w:t>activités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abandonnées</w:t>
            </w:r>
            <w:proofErr w:type="spellEnd"/>
          </w:p>
        </w:tc>
        <w:tc>
          <w:tcPr>
            <w:tcW w:w="1701" w:type="dxa"/>
            <w:tcBorders>
              <w:top w:val="nil"/>
              <w:left w:val="nil"/>
              <w:bottom w:val="nil"/>
              <w:right w:val="nil"/>
            </w:tcBorders>
            <w:shd w:val="clear" w:color="000000" w:fill="D7E1E1"/>
            <w:vAlign w:val="bottom"/>
            <w:hideMark/>
          </w:tcPr>
          <w:p w14:paraId="0CE6C6AC"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c>
          <w:tcPr>
            <w:tcW w:w="1701" w:type="dxa"/>
            <w:tcBorders>
              <w:top w:val="nil"/>
              <w:left w:val="nil"/>
              <w:bottom w:val="nil"/>
              <w:right w:val="nil"/>
            </w:tcBorders>
            <w:shd w:val="clear" w:color="auto" w:fill="auto"/>
            <w:vAlign w:val="bottom"/>
            <w:hideMark/>
          </w:tcPr>
          <w:p w14:paraId="0C606DBC"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-26</w:t>
            </w:r>
          </w:p>
        </w:tc>
      </w:tr>
      <w:tr w:rsidR="00B00ACA" w:rsidRPr="0022349C" w14:paraId="04EAFB8C" w14:textId="77777777" w:rsidTr="00C21F49">
        <w:trPr>
          <w:trHeight w:val="290"/>
        </w:trPr>
        <w:tc>
          <w:tcPr>
            <w:tcW w:w="5529" w:type="dxa"/>
            <w:tcBorders>
              <w:top w:val="single" w:sz="4" w:space="0" w:color="808080"/>
              <w:left w:val="nil"/>
              <w:bottom w:val="single" w:sz="4" w:space="0" w:color="808080"/>
              <w:right w:val="nil"/>
            </w:tcBorders>
            <w:shd w:val="clear" w:color="auto" w:fill="auto"/>
            <w:vAlign w:val="center"/>
            <w:hideMark/>
          </w:tcPr>
          <w:p w14:paraId="43FEA49A" w14:textId="77777777" w:rsidR="00B00ACA" w:rsidRPr="00B00ACA" w:rsidRDefault="00B00ACA" w:rsidP="00C21F49">
            <w:pPr>
              <w:spacing w:after="0" w:line="240" w:lineRule="auto"/>
              <w:ind w:firstLineChars="100" w:firstLine="200"/>
              <w:rPr>
                <w:rFonts w:ascii="Tahoma" w:eastAsia="Times New Roman" w:hAnsi="Tahoma" w:cs="Tahoma"/>
                <w:color w:val="7A0000"/>
                <w:sz w:val="20"/>
                <w:szCs w:val="20"/>
                <w:lang w:val="fr-FR" w:eastAsia="fr-FR"/>
              </w:rPr>
            </w:pPr>
            <w:r w:rsidRPr="00B00ACA">
              <w:rPr>
                <w:rFonts w:ascii="Tahoma" w:eastAsia="Times New Roman" w:hAnsi="Tahoma" w:cs="Tahoma"/>
                <w:color w:val="7A0000"/>
                <w:sz w:val="20"/>
                <w:szCs w:val="20"/>
                <w:lang w:val="fr-FR" w:eastAsia="fr-FR"/>
              </w:rPr>
              <w:t>Flux de trésorerie liés aux activités d'investissement</w:t>
            </w:r>
          </w:p>
        </w:tc>
        <w:tc>
          <w:tcPr>
            <w:tcW w:w="1701" w:type="dxa"/>
            <w:tcBorders>
              <w:top w:val="single" w:sz="4" w:space="0" w:color="808080"/>
              <w:left w:val="nil"/>
              <w:bottom w:val="single" w:sz="4" w:space="0" w:color="808080"/>
              <w:right w:val="nil"/>
            </w:tcBorders>
            <w:shd w:val="clear" w:color="000000" w:fill="D7E1E1"/>
            <w:vAlign w:val="bottom"/>
            <w:hideMark/>
          </w:tcPr>
          <w:p w14:paraId="1AFD9305"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-13 626</w:t>
            </w:r>
          </w:p>
        </w:tc>
        <w:tc>
          <w:tcPr>
            <w:tcW w:w="1701" w:type="dxa"/>
            <w:tcBorders>
              <w:top w:val="single" w:sz="4" w:space="0" w:color="808080"/>
              <w:left w:val="nil"/>
              <w:bottom w:val="single" w:sz="4" w:space="0" w:color="808080"/>
              <w:right w:val="nil"/>
            </w:tcBorders>
            <w:shd w:val="clear" w:color="auto" w:fill="auto"/>
            <w:vAlign w:val="bottom"/>
            <w:hideMark/>
          </w:tcPr>
          <w:p w14:paraId="0CFDEFF3"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-43 053</w:t>
            </w:r>
          </w:p>
        </w:tc>
      </w:tr>
      <w:tr w:rsidR="00B00ACA" w:rsidRPr="0022349C" w14:paraId="7619A866" w14:textId="77777777" w:rsidTr="00C21F49">
        <w:trPr>
          <w:trHeight w:val="120"/>
        </w:trPr>
        <w:tc>
          <w:tcPr>
            <w:tcW w:w="5529" w:type="dxa"/>
            <w:tcBorders>
              <w:top w:val="nil"/>
              <w:left w:val="nil"/>
              <w:bottom w:val="nil"/>
              <w:right w:val="nil"/>
            </w:tcBorders>
            <w:shd w:val="clear" w:color="auto" w:fill="auto"/>
            <w:vAlign w:val="center"/>
            <w:hideMark/>
          </w:tcPr>
          <w:p w14:paraId="45C0DB2A"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p>
        </w:tc>
        <w:tc>
          <w:tcPr>
            <w:tcW w:w="1701" w:type="dxa"/>
            <w:tcBorders>
              <w:top w:val="nil"/>
              <w:left w:val="nil"/>
              <w:bottom w:val="nil"/>
              <w:right w:val="nil"/>
            </w:tcBorders>
            <w:shd w:val="clear" w:color="000000" w:fill="D7E1E1"/>
            <w:vAlign w:val="bottom"/>
            <w:hideMark/>
          </w:tcPr>
          <w:p w14:paraId="12A4A1A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w:t>
            </w:r>
          </w:p>
        </w:tc>
        <w:tc>
          <w:tcPr>
            <w:tcW w:w="1701" w:type="dxa"/>
            <w:tcBorders>
              <w:top w:val="nil"/>
              <w:left w:val="nil"/>
              <w:bottom w:val="nil"/>
              <w:right w:val="nil"/>
            </w:tcBorders>
            <w:shd w:val="clear" w:color="auto" w:fill="auto"/>
            <w:vAlign w:val="bottom"/>
            <w:hideMark/>
          </w:tcPr>
          <w:p w14:paraId="50DAD491"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p>
        </w:tc>
      </w:tr>
      <w:tr w:rsidR="00B00ACA" w:rsidRPr="0022349C" w14:paraId="280F1FC8" w14:textId="77777777" w:rsidTr="00C21F49">
        <w:trPr>
          <w:trHeight w:val="290"/>
        </w:trPr>
        <w:tc>
          <w:tcPr>
            <w:tcW w:w="5529" w:type="dxa"/>
            <w:tcBorders>
              <w:top w:val="nil"/>
              <w:left w:val="nil"/>
              <w:bottom w:val="nil"/>
              <w:right w:val="nil"/>
            </w:tcBorders>
            <w:shd w:val="clear" w:color="auto" w:fill="auto"/>
            <w:vAlign w:val="center"/>
            <w:hideMark/>
          </w:tcPr>
          <w:p w14:paraId="515E3635"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 xml:space="preserve">Versement des actionnaires de la société mère lors </w:t>
            </w:r>
          </w:p>
          <w:p w14:paraId="2652717D"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Pr>
                <w:rFonts w:ascii="Tahoma" w:eastAsia="Times New Roman" w:hAnsi="Tahoma" w:cs="Tahoma"/>
                <w:color w:val="231F20"/>
                <w:sz w:val="20"/>
                <w:szCs w:val="20"/>
                <w:lang w:eastAsia="fr-FR"/>
              </w:rPr>
              <w:t>d</w:t>
            </w:r>
            <w:r w:rsidRPr="0022349C">
              <w:rPr>
                <w:rFonts w:ascii="Tahoma" w:eastAsia="Times New Roman" w:hAnsi="Tahoma" w:cs="Tahoma"/>
                <w:color w:val="231F20"/>
                <w:sz w:val="20"/>
                <w:szCs w:val="20"/>
                <w:lang w:eastAsia="fr-FR"/>
              </w:rPr>
              <w:t>'augmentation</w:t>
            </w:r>
            <w:proofErr w:type="spellEnd"/>
            <w:r w:rsidRPr="0022349C">
              <w:rPr>
                <w:rFonts w:ascii="Tahoma" w:eastAsia="Times New Roman" w:hAnsi="Tahoma" w:cs="Tahoma"/>
                <w:color w:val="231F20"/>
                <w:sz w:val="20"/>
                <w:szCs w:val="20"/>
                <w:lang w:eastAsia="fr-FR"/>
              </w:rPr>
              <w:t xml:space="preserve"> de capital</w:t>
            </w:r>
          </w:p>
        </w:tc>
        <w:tc>
          <w:tcPr>
            <w:tcW w:w="1701" w:type="dxa"/>
            <w:tcBorders>
              <w:top w:val="nil"/>
              <w:left w:val="nil"/>
              <w:bottom w:val="nil"/>
              <w:right w:val="nil"/>
            </w:tcBorders>
            <w:shd w:val="clear" w:color="000000" w:fill="D7E1E1"/>
            <w:vAlign w:val="bottom"/>
            <w:hideMark/>
          </w:tcPr>
          <w:p w14:paraId="43D880E8"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c>
          <w:tcPr>
            <w:tcW w:w="1701" w:type="dxa"/>
            <w:tcBorders>
              <w:top w:val="nil"/>
              <w:left w:val="nil"/>
              <w:bottom w:val="nil"/>
              <w:right w:val="nil"/>
            </w:tcBorders>
            <w:shd w:val="clear" w:color="auto" w:fill="auto"/>
            <w:vAlign w:val="bottom"/>
            <w:hideMark/>
          </w:tcPr>
          <w:p w14:paraId="63D61C78"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7</w:t>
            </w:r>
          </w:p>
        </w:tc>
      </w:tr>
      <w:tr w:rsidR="00B00ACA" w:rsidRPr="0022349C" w14:paraId="27FCDBC4" w14:textId="77777777" w:rsidTr="00C21F49">
        <w:trPr>
          <w:trHeight w:val="290"/>
        </w:trPr>
        <w:tc>
          <w:tcPr>
            <w:tcW w:w="5529" w:type="dxa"/>
            <w:tcBorders>
              <w:top w:val="nil"/>
              <w:left w:val="nil"/>
              <w:bottom w:val="nil"/>
              <w:right w:val="nil"/>
            </w:tcBorders>
            <w:shd w:val="clear" w:color="auto" w:fill="auto"/>
            <w:vAlign w:val="center"/>
            <w:hideMark/>
          </w:tcPr>
          <w:p w14:paraId="6742FC9E"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Versement des minoritaires lors d'augmentation de capital</w:t>
            </w:r>
          </w:p>
        </w:tc>
        <w:tc>
          <w:tcPr>
            <w:tcW w:w="1701" w:type="dxa"/>
            <w:tcBorders>
              <w:top w:val="nil"/>
              <w:left w:val="nil"/>
              <w:bottom w:val="nil"/>
              <w:right w:val="nil"/>
            </w:tcBorders>
            <w:shd w:val="clear" w:color="000000" w:fill="D7E1E1"/>
            <w:vAlign w:val="bottom"/>
            <w:hideMark/>
          </w:tcPr>
          <w:p w14:paraId="0FE225BF"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c>
          <w:tcPr>
            <w:tcW w:w="1701" w:type="dxa"/>
            <w:tcBorders>
              <w:top w:val="nil"/>
              <w:left w:val="nil"/>
              <w:bottom w:val="nil"/>
              <w:right w:val="nil"/>
            </w:tcBorders>
            <w:shd w:val="clear" w:color="auto" w:fill="auto"/>
            <w:vAlign w:val="bottom"/>
            <w:hideMark/>
          </w:tcPr>
          <w:p w14:paraId="71CEDCE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r>
      <w:tr w:rsidR="00B00ACA" w:rsidRPr="0022349C" w14:paraId="443EDF5B" w14:textId="77777777" w:rsidTr="00C21F49">
        <w:trPr>
          <w:trHeight w:val="290"/>
        </w:trPr>
        <w:tc>
          <w:tcPr>
            <w:tcW w:w="5529" w:type="dxa"/>
            <w:tcBorders>
              <w:top w:val="nil"/>
              <w:left w:val="nil"/>
              <w:bottom w:val="nil"/>
              <w:right w:val="nil"/>
            </w:tcBorders>
            <w:shd w:val="clear" w:color="auto" w:fill="auto"/>
            <w:vAlign w:val="center"/>
            <w:hideMark/>
          </w:tcPr>
          <w:p w14:paraId="2A87A5E0"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Cession (acquisition) nette d'actions propres</w:t>
            </w:r>
          </w:p>
        </w:tc>
        <w:tc>
          <w:tcPr>
            <w:tcW w:w="1701" w:type="dxa"/>
            <w:tcBorders>
              <w:top w:val="nil"/>
              <w:left w:val="nil"/>
              <w:bottom w:val="nil"/>
              <w:right w:val="nil"/>
            </w:tcBorders>
            <w:shd w:val="clear" w:color="000000" w:fill="D7E1E1"/>
            <w:vAlign w:val="bottom"/>
            <w:hideMark/>
          </w:tcPr>
          <w:p w14:paraId="30F35AA4"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-3</w:t>
            </w:r>
          </w:p>
        </w:tc>
        <w:tc>
          <w:tcPr>
            <w:tcW w:w="1701" w:type="dxa"/>
            <w:tcBorders>
              <w:top w:val="nil"/>
              <w:left w:val="nil"/>
              <w:bottom w:val="nil"/>
              <w:right w:val="nil"/>
            </w:tcBorders>
            <w:shd w:val="clear" w:color="auto" w:fill="auto"/>
            <w:vAlign w:val="bottom"/>
            <w:hideMark/>
          </w:tcPr>
          <w:p w14:paraId="02E91E5F"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w:t>
            </w:r>
          </w:p>
        </w:tc>
      </w:tr>
      <w:tr w:rsidR="00B00ACA" w:rsidRPr="0022349C" w14:paraId="10D3F2CF" w14:textId="77777777" w:rsidTr="00C21F49">
        <w:trPr>
          <w:trHeight w:val="290"/>
        </w:trPr>
        <w:tc>
          <w:tcPr>
            <w:tcW w:w="5529" w:type="dxa"/>
            <w:tcBorders>
              <w:top w:val="nil"/>
              <w:left w:val="nil"/>
              <w:bottom w:val="nil"/>
              <w:right w:val="nil"/>
            </w:tcBorders>
            <w:shd w:val="clear" w:color="auto" w:fill="auto"/>
            <w:vAlign w:val="center"/>
            <w:hideMark/>
          </w:tcPr>
          <w:p w14:paraId="3B0B6C6B"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Dividendes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versés</w:t>
            </w:r>
            <w:proofErr w:type="spellEnd"/>
          </w:p>
        </w:tc>
        <w:tc>
          <w:tcPr>
            <w:tcW w:w="1701" w:type="dxa"/>
            <w:tcBorders>
              <w:top w:val="nil"/>
              <w:left w:val="nil"/>
              <w:bottom w:val="nil"/>
              <w:right w:val="nil"/>
            </w:tcBorders>
            <w:shd w:val="clear" w:color="000000" w:fill="D7E1E1"/>
            <w:vAlign w:val="bottom"/>
            <w:hideMark/>
          </w:tcPr>
          <w:p w14:paraId="404B24D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-1 996</w:t>
            </w:r>
          </w:p>
        </w:tc>
        <w:tc>
          <w:tcPr>
            <w:tcW w:w="1701" w:type="dxa"/>
            <w:tcBorders>
              <w:top w:val="nil"/>
              <w:left w:val="nil"/>
              <w:bottom w:val="nil"/>
              <w:right w:val="nil"/>
            </w:tcBorders>
            <w:shd w:val="clear" w:color="auto" w:fill="auto"/>
            <w:vAlign w:val="bottom"/>
            <w:hideMark/>
          </w:tcPr>
          <w:p w14:paraId="1DD1B330"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-514</w:t>
            </w:r>
          </w:p>
        </w:tc>
      </w:tr>
      <w:tr w:rsidR="00B00ACA" w:rsidRPr="0022349C" w14:paraId="655074AF" w14:textId="77777777" w:rsidTr="00C21F49">
        <w:trPr>
          <w:trHeight w:val="290"/>
        </w:trPr>
        <w:tc>
          <w:tcPr>
            <w:tcW w:w="5529" w:type="dxa"/>
            <w:tcBorders>
              <w:top w:val="nil"/>
              <w:left w:val="nil"/>
              <w:bottom w:val="nil"/>
              <w:right w:val="nil"/>
            </w:tcBorders>
            <w:shd w:val="clear" w:color="auto" w:fill="auto"/>
            <w:vAlign w:val="center"/>
            <w:hideMark/>
          </w:tcPr>
          <w:p w14:paraId="2E16B5C8"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lastRenderedPageBreak/>
              <w:t xml:space="preserve">Emission </w:t>
            </w:r>
            <w:proofErr w:type="spellStart"/>
            <w:r w:rsidRPr="0022349C">
              <w:rPr>
                <w:rFonts w:ascii="Tahoma" w:eastAsia="Times New Roman" w:hAnsi="Tahoma" w:cs="Tahoma"/>
                <w:color w:val="231F20"/>
                <w:sz w:val="20"/>
                <w:szCs w:val="20"/>
                <w:lang w:eastAsia="fr-FR"/>
              </w:rPr>
              <w:t>d'emprunts</w:t>
            </w:r>
            <w:proofErr w:type="spellEnd"/>
          </w:p>
        </w:tc>
        <w:tc>
          <w:tcPr>
            <w:tcW w:w="1701" w:type="dxa"/>
            <w:tcBorders>
              <w:top w:val="nil"/>
              <w:left w:val="nil"/>
              <w:bottom w:val="nil"/>
              <w:right w:val="nil"/>
            </w:tcBorders>
            <w:shd w:val="clear" w:color="000000" w:fill="D7E1E1"/>
            <w:vAlign w:val="bottom"/>
            <w:hideMark/>
          </w:tcPr>
          <w:p w14:paraId="3848978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41 695</w:t>
            </w:r>
          </w:p>
        </w:tc>
        <w:tc>
          <w:tcPr>
            <w:tcW w:w="1701" w:type="dxa"/>
            <w:tcBorders>
              <w:top w:val="nil"/>
              <w:left w:val="nil"/>
              <w:bottom w:val="nil"/>
              <w:right w:val="nil"/>
            </w:tcBorders>
            <w:shd w:val="clear" w:color="auto" w:fill="auto"/>
            <w:vAlign w:val="bottom"/>
            <w:hideMark/>
          </w:tcPr>
          <w:p w14:paraId="53EA79D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26 737</w:t>
            </w:r>
          </w:p>
        </w:tc>
      </w:tr>
      <w:tr w:rsidR="00B00ACA" w:rsidRPr="0022349C" w14:paraId="6E1C27FC" w14:textId="77777777" w:rsidTr="00C21F49">
        <w:trPr>
          <w:trHeight w:val="290"/>
        </w:trPr>
        <w:tc>
          <w:tcPr>
            <w:tcW w:w="5529" w:type="dxa"/>
            <w:tcBorders>
              <w:top w:val="nil"/>
              <w:left w:val="nil"/>
              <w:bottom w:val="nil"/>
              <w:right w:val="nil"/>
            </w:tcBorders>
            <w:shd w:val="clear" w:color="auto" w:fill="auto"/>
            <w:vAlign w:val="center"/>
            <w:hideMark/>
          </w:tcPr>
          <w:p w14:paraId="5A994007"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Remboursement</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d'emprunts</w:t>
            </w:r>
            <w:proofErr w:type="spellEnd"/>
          </w:p>
        </w:tc>
        <w:tc>
          <w:tcPr>
            <w:tcW w:w="1701" w:type="dxa"/>
            <w:tcBorders>
              <w:top w:val="nil"/>
              <w:left w:val="nil"/>
              <w:bottom w:val="nil"/>
              <w:right w:val="nil"/>
            </w:tcBorders>
            <w:shd w:val="clear" w:color="000000" w:fill="D7E1E1"/>
            <w:vAlign w:val="bottom"/>
            <w:hideMark/>
          </w:tcPr>
          <w:p w14:paraId="443A404F"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-34 758</w:t>
            </w:r>
          </w:p>
        </w:tc>
        <w:tc>
          <w:tcPr>
            <w:tcW w:w="1701" w:type="dxa"/>
            <w:tcBorders>
              <w:top w:val="nil"/>
              <w:left w:val="nil"/>
              <w:bottom w:val="nil"/>
              <w:right w:val="nil"/>
            </w:tcBorders>
            <w:shd w:val="clear" w:color="auto" w:fill="auto"/>
            <w:vAlign w:val="bottom"/>
            <w:hideMark/>
          </w:tcPr>
          <w:p w14:paraId="09C1E288"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-9 506</w:t>
            </w:r>
          </w:p>
        </w:tc>
      </w:tr>
      <w:tr w:rsidR="00B00ACA" w:rsidRPr="0022349C" w14:paraId="5432F10A" w14:textId="77777777" w:rsidTr="00C21F49">
        <w:trPr>
          <w:trHeight w:val="290"/>
        </w:trPr>
        <w:tc>
          <w:tcPr>
            <w:tcW w:w="5529" w:type="dxa"/>
            <w:tcBorders>
              <w:top w:val="nil"/>
              <w:left w:val="nil"/>
              <w:bottom w:val="nil"/>
              <w:right w:val="nil"/>
            </w:tcBorders>
            <w:shd w:val="clear" w:color="auto" w:fill="auto"/>
            <w:vAlign w:val="center"/>
            <w:hideMark/>
          </w:tcPr>
          <w:p w14:paraId="4936F1AC"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Remboursement des obligations locatives ( IFRS 16)</w:t>
            </w:r>
          </w:p>
        </w:tc>
        <w:tc>
          <w:tcPr>
            <w:tcW w:w="1701" w:type="dxa"/>
            <w:tcBorders>
              <w:top w:val="nil"/>
              <w:left w:val="nil"/>
              <w:bottom w:val="nil"/>
              <w:right w:val="nil"/>
            </w:tcBorders>
            <w:shd w:val="clear" w:color="000000" w:fill="D7E1E1"/>
            <w:vAlign w:val="bottom"/>
            <w:hideMark/>
          </w:tcPr>
          <w:p w14:paraId="5BE22887"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-10 830</w:t>
            </w:r>
          </w:p>
        </w:tc>
        <w:tc>
          <w:tcPr>
            <w:tcW w:w="1701" w:type="dxa"/>
            <w:tcBorders>
              <w:top w:val="nil"/>
              <w:left w:val="nil"/>
              <w:bottom w:val="nil"/>
              <w:right w:val="nil"/>
            </w:tcBorders>
            <w:shd w:val="clear" w:color="auto" w:fill="auto"/>
            <w:vAlign w:val="bottom"/>
            <w:hideMark/>
          </w:tcPr>
          <w:p w14:paraId="0E39A31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-9 145</w:t>
            </w:r>
          </w:p>
        </w:tc>
      </w:tr>
      <w:tr w:rsidR="00B00ACA" w:rsidRPr="0022349C" w14:paraId="54ABDB77" w14:textId="77777777" w:rsidTr="00C21F49">
        <w:trPr>
          <w:trHeight w:val="290"/>
        </w:trPr>
        <w:tc>
          <w:tcPr>
            <w:tcW w:w="5529" w:type="dxa"/>
            <w:tcBorders>
              <w:top w:val="nil"/>
              <w:left w:val="nil"/>
              <w:bottom w:val="nil"/>
              <w:right w:val="nil"/>
            </w:tcBorders>
            <w:shd w:val="clear" w:color="auto" w:fill="auto"/>
            <w:vAlign w:val="center"/>
            <w:hideMark/>
          </w:tcPr>
          <w:p w14:paraId="4155E93F"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Intérêts</w:t>
            </w:r>
            <w:proofErr w:type="spellEnd"/>
            <w:r w:rsidRPr="0022349C">
              <w:rPr>
                <w:rFonts w:ascii="Tahoma" w:eastAsia="Times New Roman" w:hAnsi="Tahoma" w:cs="Tahoma"/>
                <w:color w:val="231F20"/>
                <w:sz w:val="20"/>
                <w:szCs w:val="20"/>
                <w:lang w:eastAsia="fr-FR"/>
              </w:rPr>
              <w:t xml:space="preserve"> financiers nets </w:t>
            </w:r>
            <w:proofErr w:type="spellStart"/>
            <w:r w:rsidRPr="0022349C">
              <w:rPr>
                <w:rFonts w:ascii="Tahoma" w:eastAsia="Times New Roman" w:hAnsi="Tahoma" w:cs="Tahoma"/>
                <w:color w:val="231F20"/>
                <w:sz w:val="20"/>
                <w:szCs w:val="20"/>
                <w:lang w:eastAsia="fr-FR"/>
              </w:rPr>
              <w:t>versés</w:t>
            </w:r>
            <w:proofErr w:type="spellEnd"/>
          </w:p>
        </w:tc>
        <w:tc>
          <w:tcPr>
            <w:tcW w:w="1701" w:type="dxa"/>
            <w:tcBorders>
              <w:top w:val="nil"/>
              <w:left w:val="nil"/>
              <w:bottom w:val="nil"/>
              <w:right w:val="nil"/>
            </w:tcBorders>
            <w:shd w:val="clear" w:color="000000" w:fill="D7E1E1"/>
            <w:vAlign w:val="bottom"/>
            <w:hideMark/>
          </w:tcPr>
          <w:p w14:paraId="17E1DCD9"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-12 555</w:t>
            </w:r>
          </w:p>
        </w:tc>
        <w:tc>
          <w:tcPr>
            <w:tcW w:w="1701" w:type="dxa"/>
            <w:tcBorders>
              <w:top w:val="nil"/>
              <w:left w:val="nil"/>
              <w:bottom w:val="nil"/>
              <w:right w:val="nil"/>
            </w:tcBorders>
            <w:shd w:val="clear" w:color="auto" w:fill="auto"/>
            <w:vAlign w:val="bottom"/>
            <w:hideMark/>
          </w:tcPr>
          <w:p w14:paraId="4EE224D5"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-7 007</w:t>
            </w:r>
          </w:p>
        </w:tc>
      </w:tr>
      <w:tr w:rsidR="00B00ACA" w:rsidRPr="0022349C" w14:paraId="2EDF6A7D" w14:textId="77777777" w:rsidTr="00C21F49">
        <w:trPr>
          <w:trHeight w:val="290"/>
        </w:trPr>
        <w:tc>
          <w:tcPr>
            <w:tcW w:w="5529" w:type="dxa"/>
            <w:tcBorders>
              <w:top w:val="nil"/>
              <w:left w:val="nil"/>
              <w:bottom w:val="nil"/>
              <w:right w:val="nil"/>
            </w:tcBorders>
            <w:shd w:val="clear" w:color="auto" w:fill="auto"/>
            <w:vAlign w:val="center"/>
            <w:hideMark/>
          </w:tcPr>
          <w:p w14:paraId="600F4722"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Autres flux liés aux opérations de financement</w:t>
            </w:r>
          </w:p>
        </w:tc>
        <w:tc>
          <w:tcPr>
            <w:tcW w:w="1701" w:type="dxa"/>
            <w:tcBorders>
              <w:top w:val="nil"/>
              <w:left w:val="nil"/>
              <w:bottom w:val="nil"/>
              <w:right w:val="nil"/>
            </w:tcBorders>
            <w:shd w:val="clear" w:color="000000" w:fill="D7E1E1"/>
            <w:vAlign w:val="bottom"/>
            <w:hideMark/>
          </w:tcPr>
          <w:p w14:paraId="4528DA90"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-3 087</w:t>
            </w:r>
          </w:p>
        </w:tc>
        <w:tc>
          <w:tcPr>
            <w:tcW w:w="1701" w:type="dxa"/>
            <w:tcBorders>
              <w:top w:val="nil"/>
              <w:left w:val="nil"/>
              <w:bottom w:val="nil"/>
              <w:right w:val="nil"/>
            </w:tcBorders>
            <w:shd w:val="clear" w:color="auto" w:fill="auto"/>
            <w:vAlign w:val="bottom"/>
            <w:hideMark/>
          </w:tcPr>
          <w:p w14:paraId="4B559FC7"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431</w:t>
            </w:r>
          </w:p>
        </w:tc>
      </w:tr>
      <w:tr w:rsidR="00B00ACA" w:rsidRPr="0022349C" w14:paraId="54C08EBA" w14:textId="77777777" w:rsidTr="00C21F49">
        <w:trPr>
          <w:trHeight w:val="290"/>
        </w:trPr>
        <w:tc>
          <w:tcPr>
            <w:tcW w:w="5529" w:type="dxa"/>
            <w:tcBorders>
              <w:top w:val="nil"/>
              <w:left w:val="nil"/>
              <w:bottom w:val="nil"/>
              <w:right w:val="nil"/>
            </w:tcBorders>
            <w:shd w:val="clear" w:color="auto" w:fill="auto"/>
            <w:vAlign w:val="center"/>
            <w:hideMark/>
          </w:tcPr>
          <w:p w14:paraId="4C05050B"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 xml:space="preserve">Impact des </w:t>
            </w:r>
            <w:proofErr w:type="spellStart"/>
            <w:r w:rsidRPr="0022349C">
              <w:rPr>
                <w:rFonts w:ascii="Tahoma" w:eastAsia="Times New Roman" w:hAnsi="Tahoma" w:cs="Tahoma"/>
                <w:color w:val="231F20"/>
                <w:sz w:val="20"/>
                <w:szCs w:val="20"/>
                <w:lang w:eastAsia="fr-FR"/>
              </w:rPr>
              <w:t>activités</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abandonnées</w:t>
            </w:r>
            <w:proofErr w:type="spellEnd"/>
          </w:p>
        </w:tc>
        <w:tc>
          <w:tcPr>
            <w:tcW w:w="1701" w:type="dxa"/>
            <w:tcBorders>
              <w:top w:val="nil"/>
              <w:left w:val="nil"/>
              <w:bottom w:val="nil"/>
              <w:right w:val="nil"/>
            </w:tcBorders>
            <w:shd w:val="clear" w:color="000000" w:fill="D7E1E1"/>
            <w:vAlign w:val="bottom"/>
            <w:hideMark/>
          </w:tcPr>
          <w:p w14:paraId="779F4358"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c>
          <w:tcPr>
            <w:tcW w:w="1701" w:type="dxa"/>
            <w:tcBorders>
              <w:top w:val="nil"/>
              <w:left w:val="nil"/>
              <w:bottom w:val="nil"/>
              <w:right w:val="nil"/>
            </w:tcBorders>
            <w:shd w:val="clear" w:color="auto" w:fill="auto"/>
            <w:vAlign w:val="bottom"/>
            <w:hideMark/>
          </w:tcPr>
          <w:p w14:paraId="33E78AB2"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-128</w:t>
            </w:r>
          </w:p>
        </w:tc>
      </w:tr>
      <w:tr w:rsidR="00B00ACA" w:rsidRPr="0022349C" w14:paraId="55EB3FF3" w14:textId="77777777" w:rsidTr="00C21F49">
        <w:trPr>
          <w:trHeight w:val="290"/>
        </w:trPr>
        <w:tc>
          <w:tcPr>
            <w:tcW w:w="5529" w:type="dxa"/>
            <w:tcBorders>
              <w:top w:val="single" w:sz="4" w:space="0" w:color="808080"/>
              <w:left w:val="nil"/>
              <w:bottom w:val="single" w:sz="4" w:space="0" w:color="808080"/>
              <w:right w:val="nil"/>
            </w:tcBorders>
            <w:shd w:val="clear" w:color="auto" w:fill="auto"/>
            <w:vAlign w:val="center"/>
            <w:hideMark/>
          </w:tcPr>
          <w:p w14:paraId="7A305B05" w14:textId="77777777" w:rsidR="00B00ACA" w:rsidRPr="00B00ACA" w:rsidRDefault="00B00ACA" w:rsidP="00C21F49">
            <w:pPr>
              <w:spacing w:after="0" w:line="240" w:lineRule="auto"/>
              <w:ind w:firstLineChars="100" w:firstLine="200"/>
              <w:rPr>
                <w:rFonts w:ascii="Tahoma" w:eastAsia="Times New Roman" w:hAnsi="Tahoma" w:cs="Tahoma"/>
                <w:color w:val="7A0000"/>
                <w:sz w:val="20"/>
                <w:szCs w:val="20"/>
                <w:lang w:val="fr-FR" w:eastAsia="fr-FR"/>
              </w:rPr>
            </w:pPr>
            <w:r w:rsidRPr="00B00ACA">
              <w:rPr>
                <w:rFonts w:ascii="Tahoma" w:eastAsia="Times New Roman" w:hAnsi="Tahoma" w:cs="Tahoma"/>
                <w:color w:val="7A0000"/>
                <w:sz w:val="20"/>
                <w:szCs w:val="20"/>
                <w:lang w:val="fr-FR" w:eastAsia="fr-FR"/>
              </w:rPr>
              <w:t>Flux de trésorerie liés aux activités de financement</w:t>
            </w:r>
          </w:p>
        </w:tc>
        <w:tc>
          <w:tcPr>
            <w:tcW w:w="1701" w:type="dxa"/>
            <w:tcBorders>
              <w:top w:val="single" w:sz="4" w:space="0" w:color="808080"/>
              <w:left w:val="nil"/>
              <w:bottom w:val="single" w:sz="4" w:space="0" w:color="808080"/>
              <w:right w:val="nil"/>
            </w:tcBorders>
            <w:shd w:val="clear" w:color="000000" w:fill="D7E1E1"/>
            <w:vAlign w:val="bottom"/>
            <w:hideMark/>
          </w:tcPr>
          <w:p w14:paraId="2C20CCC6"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-21 534</w:t>
            </w:r>
          </w:p>
        </w:tc>
        <w:tc>
          <w:tcPr>
            <w:tcW w:w="1701" w:type="dxa"/>
            <w:tcBorders>
              <w:top w:val="single" w:sz="4" w:space="0" w:color="808080"/>
              <w:left w:val="nil"/>
              <w:bottom w:val="single" w:sz="4" w:space="0" w:color="808080"/>
              <w:right w:val="nil"/>
            </w:tcBorders>
            <w:shd w:val="clear" w:color="auto" w:fill="auto"/>
            <w:vAlign w:val="bottom"/>
            <w:hideMark/>
          </w:tcPr>
          <w:p w14:paraId="015C8872"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r w:rsidRPr="0022349C">
              <w:rPr>
                <w:rFonts w:ascii="Tahoma" w:eastAsia="Times New Roman" w:hAnsi="Tahoma" w:cs="Tahoma"/>
                <w:color w:val="7A0000"/>
                <w:sz w:val="20"/>
                <w:szCs w:val="20"/>
                <w:lang w:eastAsia="fr-FR"/>
              </w:rPr>
              <w:t>872</w:t>
            </w:r>
          </w:p>
        </w:tc>
      </w:tr>
      <w:tr w:rsidR="00B00ACA" w:rsidRPr="0022349C" w14:paraId="70E1576D" w14:textId="77777777" w:rsidTr="00C21F49">
        <w:trPr>
          <w:trHeight w:val="120"/>
        </w:trPr>
        <w:tc>
          <w:tcPr>
            <w:tcW w:w="5529" w:type="dxa"/>
            <w:tcBorders>
              <w:top w:val="nil"/>
              <w:left w:val="nil"/>
              <w:bottom w:val="nil"/>
              <w:right w:val="nil"/>
            </w:tcBorders>
            <w:shd w:val="clear" w:color="auto" w:fill="auto"/>
            <w:vAlign w:val="center"/>
            <w:hideMark/>
          </w:tcPr>
          <w:p w14:paraId="3D013282" w14:textId="77777777" w:rsidR="00B00ACA" w:rsidRPr="0022349C" w:rsidRDefault="00B00ACA" w:rsidP="00C21F49">
            <w:pPr>
              <w:spacing w:after="0" w:line="240" w:lineRule="auto"/>
              <w:ind w:firstLineChars="100" w:firstLine="200"/>
              <w:jc w:val="right"/>
              <w:rPr>
                <w:rFonts w:ascii="Tahoma" w:eastAsia="Times New Roman" w:hAnsi="Tahoma" w:cs="Tahoma"/>
                <w:color w:val="7A0000"/>
                <w:sz w:val="20"/>
                <w:szCs w:val="20"/>
                <w:lang w:eastAsia="fr-FR"/>
              </w:rPr>
            </w:pPr>
          </w:p>
        </w:tc>
        <w:tc>
          <w:tcPr>
            <w:tcW w:w="1701" w:type="dxa"/>
            <w:tcBorders>
              <w:top w:val="nil"/>
              <w:left w:val="nil"/>
              <w:bottom w:val="nil"/>
              <w:right w:val="nil"/>
            </w:tcBorders>
            <w:shd w:val="clear" w:color="auto" w:fill="auto"/>
            <w:vAlign w:val="bottom"/>
            <w:hideMark/>
          </w:tcPr>
          <w:p w14:paraId="71FB7360" w14:textId="77777777" w:rsidR="00B00ACA" w:rsidRPr="0022349C" w:rsidRDefault="00B00ACA" w:rsidP="00C21F49">
            <w:pPr>
              <w:spacing w:after="0" w:line="240" w:lineRule="auto"/>
              <w:ind w:firstLineChars="100" w:firstLine="200"/>
              <w:rPr>
                <w:rFonts w:ascii="Times New Roman" w:eastAsia="Times New Roman" w:hAnsi="Times New Roman" w:cs="Times New Roman"/>
                <w:sz w:val="20"/>
                <w:szCs w:val="20"/>
                <w:lang w:eastAsia="fr-FR"/>
              </w:rPr>
            </w:pPr>
          </w:p>
        </w:tc>
        <w:tc>
          <w:tcPr>
            <w:tcW w:w="1701" w:type="dxa"/>
            <w:tcBorders>
              <w:top w:val="nil"/>
              <w:left w:val="nil"/>
              <w:bottom w:val="nil"/>
              <w:right w:val="nil"/>
            </w:tcBorders>
            <w:shd w:val="clear" w:color="auto" w:fill="auto"/>
            <w:vAlign w:val="bottom"/>
            <w:hideMark/>
          </w:tcPr>
          <w:p w14:paraId="56861505" w14:textId="77777777" w:rsidR="00B00ACA" w:rsidRPr="0022349C" w:rsidRDefault="00B00ACA" w:rsidP="00C21F49">
            <w:pPr>
              <w:spacing w:after="0" w:line="240" w:lineRule="auto"/>
              <w:ind w:firstLineChars="100" w:firstLine="200"/>
              <w:jc w:val="right"/>
              <w:rPr>
                <w:rFonts w:ascii="Times New Roman" w:eastAsia="Times New Roman" w:hAnsi="Times New Roman" w:cs="Times New Roman"/>
                <w:sz w:val="20"/>
                <w:szCs w:val="20"/>
                <w:lang w:eastAsia="fr-FR"/>
              </w:rPr>
            </w:pPr>
          </w:p>
        </w:tc>
      </w:tr>
      <w:tr w:rsidR="00B00ACA" w:rsidRPr="0022349C" w14:paraId="1D9EAB55" w14:textId="77777777" w:rsidTr="00C21F49">
        <w:trPr>
          <w:trHeight w:val="290"/>
        </w:trPr>
        <w:tc>
          <w:tcPr>
            <w:tcW w:w="5529" w:type="dxa"/>
            <w:tcBorders>
              <w:top w:val="single" w:sz="4" w:space="0" w:color="7E8083"/>
              <w:left w:val="nil"/>
              <w:bottom w:val="single" w:sz="4" w:space="0" w:color="7E8083"/>
              <w:right w:val="nil"/>
            </w:tcBorders>
            <w:shd w:val="clear" w:color="auto" w:fill="auto"/>
            <w:vAlign w:val="center"/>
            <w:hideMark/>
          </w:tcPr>
          <w:p w14:paraId="0FE3DF0C"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Incidence des variations des cours des devises</w:t>
            </w:r>
          </w:p>
        </w:tc>
        <w:tc>
          <w:tcPr>
            <w:tcW w:w="1701" w:type="dxa"/>
            <w:tcBorders>
              <w:top w:val="single" w:sz="4" w:space="0" w:color="7E8083"/>
              <w:left w:val="nil"/>
              <w:bottom w:val="single" w:sz="4" w:space="0" w:color="7E8083"/>
              <w:right w:val="nil"/>
            </w:tcBorders>
            <w:shd w:val="clear" w:color="000000" w:fill="D7E1E1"/>
            <w:vAlign w:val="bottom"/>
            <w:hideMark/>
          </w:tcPr>
          <w:p w14:paraId="33F078F2"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-51</w:t>
            </w:r>
          </w:p>
        </w:tc>
        <w:tc>
          <w:tcPr>
            <w:tcW w:w="1701" w:type="dxa"/>
            <w:tcBorders>
              <w:top w:val="single" w:sz="4" w:space="0" w:color="7E8083"/>
              <w:left w:val="nil"/>
              <w:bottom w:val="single" w:sz="4" w:space="0" w:color="7E8083"/>
              <w:right w:val="nil"/>
            </w:tcBorders>
            <w:shd w:val="clear" w:color="auto" w:fill="auto"/>
            <w:vAlign w:val="bottom"/>
            <w:hideMark/>
          </w:tcPr>
          <w:p w14:paraId="2B5CAE7D"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-193</w:t>
            </w:r>
          </w:p>
        </w:tc>
      </w:tr>
      <w:tr w:rsidR="00B00ACA" w:rsidRPr="0022349C" w14:paraId="331B7AA1" w14:textId="77777777" w:rsidTr="00C21F49">
        <w:trPr>
          <w:trHeight w:val="120"/>
        </w:trPr>
        <w:tc>
          <w:tcPr>
            <w:tcW w:w="5529" w:type="dxa"/>
            <w:tcBorders>
              <w:top w:val="nil"/>
              <w:left w:val="nil"/>
              <w:bottom w:val="nil"/>
              <w:right w:val="nil"/>
            </w:tcBorders>
            <w:shd w:val="clear" w:color="auto" w:fill="auto"/>
            <w:vAlign w:val="center"/>
            <w:hideMark/>
          </w:tcPr>
          <w:p w14:paraId="6B1F9F03"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p>
        </w:tc>
        <w:tc>
          <w:tcPr>
            <w:tcW w:w="1701" w:type="dxa"/>
            <w:tcBorders>
              <w:top w:val="nil"/>
              <w:left w:val="nil"/>
              <w:bottom w:val="nil"/>
              <w:right w:val="nil"/>
            </w:tcBorders>
            <w:shd w:val="clear" w:color="auto" w:fill="auto"/>
            <w:vAlign w:val="bottom"/>
            <w:hideMark/>
          </w:tcPr>
          <w:p w14:paraId="37242CB4" w14:textId="77777777" w:rsidR="00B00ACA" w:rsidRPr="0022349C" w:rsidRDefault="00B00ACA" w:rsidP="00C21F49">
            <w:pPr>
              <w:spacing w:after="0" w:line="240" w:lineRule="auto"/>
              <w:ind w:firstLineChars="100" w:firstLine="200"/>
              <w:rPr>
                <w:rFonts w:ascii="Times New Roman" w:eastAsia="Times New Roman" w:hAnsi="Times New Roman" w:cs="Times New Roman"/>
                <w:sz w:val="20"/>
                <w:szCs w:val="20"/>
                <w:lang w:eastAsia="fr-FR"/>
              </w:rPr>
            </w:pPr>
          </w:p>
        </w:tc>
        <w:tc>
          <w:tcPr>
            <w:tcW w:w="1701" w:type="dxa"/>
            <w:tcBorders>
              <w:top w:val="nil"/>
              <w:left w:val="nil"/>
              <w:bottom w:val="nil"/>
              <w:right w:val="nil"/>
            </w:tcBorders>
            <w:shd w:val="clear" w:color="auto" w:fill="auto"/>
            <w:vAlign w:val="bottom"/>
            <w:hideMark/>
          </w:tcPr>
          <w:p w14:paraId="01D3BD8D" w14:textId="77777777" w:rsidR="00B00ACA" w:rsidRPr="0022349C" w:rsidRDefault="00B00ACA" w:rsidP="00C21F49">
            <w:pPr>
              <w:spacing w:after="0" w:line="240" w:lineRule="auto"/>
              <w:ind w:firstLineChars="100" w:firstLine="200"/>
              <w:jc w:val="right"/>
              <w:rPr>
                <w:rFonts w:ascii="Times New Roman" w:eastAsia="Times New Roman" w:hAnsi="Times New Roman" w:cs="Times New Roman"/>
                <w:sz w:val="20"/>
                <w:szCs w:val="20"/>
                <w:lang w:eastAsia="fr-FR"/>
              </w:rPr>
            </w:pPr>
          </w:p>
        </w:tc>
      </w:tr>
      <w:tr w:rsidR="00B00ACA" w:rsidRPr="0022349C" w14:paraId="6FE77123" w14:textId="77777777" w:rsidTr="00C21F49">
        <w:trPr>
          <w:trHeight w:val="290"/>
        </w:trPr>
        <w:tc>
          <w:tcPr>
            <w:tcW w:w="5529" w:type="dxa"/>
            <w:tcBorders>
              <w:top w:val="single" w:sz="4" w:space="0" w:color="808080"/>
              <w:left w:val="nil"/>
              <w:bottom w:val="single" w:sz="4" w:space="0" w:color="808080"/>
              <w:right w:val="nil"/>
            </w:tcBorders>
            <w:shd w:val="clear" w:color="auto" w:fill="auto"/>
            <w:vAlign w:val="center"/>
            <w:hideMark/>
          </w:tcPr>
          <w:p w14:paraId="403C3301" w14:textId="77777777" w:rsidR="00B00ACA" w:rsidRPr="00B00ACA" w:rsidRDefault="00B00ACA" w:rsidP="00C21F49">
            <w:pPr>
              <w:spacing w:after="0" w:line="240" w:lineRule="auto"/>
              <w:ind w:firstLineChars="100" w:firstLine="201"/>
              <w:rPr>
                <w:rFonts w:ascii="Tahoma" w:eastAsia="Times New Roman" w:hAnsi="Tahoma" w:cs="Tahoma"/>
                <w:b/>
                <w:bCs/>
                <w:color w:val="7A0000"/>
                <w:sz w:val="20"/>
                <w:szCs w:val="20"/>
                <w:lang w:val="fr-FR" w:eastAsia="fr-FR"/>
              </w:rPr>
            </w:pPr>
            <w:r w:rsidRPr="00B00ACA">
              <w:rPr>
                <w:rFonts w:ascii="Tahoma" w:eastAsia="Times New Roman" w:hAnsi="Tahoma" w:cs="Tahoma"/>
                <w:b/>
                <w:bCs/>
                <w:color w:val="7A0000"/>
                <w:sz w:val="20"/>
                <w:szCs w:val="20"/>
                <w:lang w:val="fr-FR" w:eastAsia="fr-FR"/>
              </w:rPr>
              <w:t>Variation de la trésorerie nette</w:t>
            </w:r>
          </w:p>
        </w:tc>
        <w:tc>
          <w:tcPr>
            <w:tcW w:w="1701" w:type="dxa"/>
            <w:tcBorders>
              <w:top w:val="single" w:sz="4" w:space="0" w:color="808080"/>
              <w:left w:val="nil"/>
              <w:bottom w:val="single" w:sz="4" w:space="0" w:color="808080"/>
              <w:right w:val="nil"/>
            </w:tcBorders>
            <w:shd w:val="clear" w:color="000000" w:fill="D7E1E1"/>
            <w:vAlign w:val="bottom"/>
            <w:hideMark/>
          </w:tcPr>
          <w:p w14:paraId="607D86E7" w14:textId="77777777" w:rsidR="00B00ACA" w:rsidRPr="0022349C" w:rsidRDefault="00B00ACA" w:rsidP="00C21F49">
            <w:pPr>
              <w:spacing w:after="0" w:line="240" w:lineRule="auto"/>
              <w:ind w:firstLineChars="100" w:firstLine="201"/>
              <w:jc w:val="right"/>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-941</w:t>
            </w:r>
          </w:p>
        </w:tc>
        <w:tc>
          <w:tcPr>
            <w:tcW w:w="1701" w:type="dxa"/>
            <w:tcBorders>
              <w:top w:val="single" w:sz="4" w:space="0" w:color="808080"/>
              <w:left w:val="nil"/>
              <w:bottom w:val="single" w:sz="4" w:space="0" w:color="808080"/>
              <w:right w:val="nil"/>
            </w:tcBorders>
            <w:shd w:val="clear" w:color="auto" w:fill="auto"/>
            <w:vAlign w:val="bottom"/>
            <w:hideMark/>
          </w:tcPr>
          <w:p w14:paraId="4AAD2814" w14:textId="77777777" w:rsidR="00B00ACA" w:rsidRPr="0022349C" w:rsidRDefault="00B00ACA" w:rsidP="00C21F49">
            <w:pPr>
              <w:spacing w:after="0" w:line="240" w:lineRule="auto"/>
              <w:ind w:firstLineChars="100" w:firstLine="201"/>
              <w:jc w:val="right"/>
              <w:rPr>
                <w:rFonts w:ascii="Tahoma" w:eastAsia="Times New Roman" w:hAnsi="Tahoma" w:cs="Tahoma"/>
                <w:b/>
                <w:bCs/>
                <w:color w:val="7A0000"/>
                <w:sz w:val="20"/>
                <w:szCs w:val="20"/>
                <w:lang w:eastAsia="fr-FR"/>
              </w:rPr>
            </w:pPr>
            <w:r w:rsidRPr="0022349C">
              <w:rPr>
                <w:rFonts w:ascii="Tahoma" w:eastAsia="Times New Roman" w:hAnsi="Tahoma" w:cs="Tahoma"/>
                <w:b/>
                <w:bCs/>
                <w:color w:val="7A0000"/>
                <w:sz w:val="20"/>
                <w:szCs w:val="20"/>
                <w:lang w:eastAsia="fr-FR"/>
              </w:rPr>
              <w:t>9 655</w:t>
            </w:r>
          </w:p>
        </w:tc>
      </w:tr>
      <w:tr w:rsidR="00B00ACA" w:rsidRPr="0022349C" w14:paraId="57A07BB4" w14:textId="77777777" w:rsidTr="00C21F49">
        <w:trPr>
          <w:trHeight w:val="120"/>
        </w:trPr>
        <w:tc>
          <w:tcPr>
            <w:tcW w:w="5529" w:type="dxa"/>
            <w:tcBorders>
              <w:top w:val="nil"/>
              <w:left w:val="nil"/>
              <w:bottom w:val="nil"/>
              <w:right w:val="nil"/>
            </w:tcBorders>
            <w:shd w:val="clear" w:color="auto" w:fill="auto"/>
            <w:vAlign w:val="center"/>
            <w:hideMark/>
          </w:tcPr>
          <w:p w14:paraId="1CEC3ECF" w14:textId="77777777" w:rsidR="00B00ACA" w:rsidRPr="0022349C" w:rsidRDefault="00B00ACA" w:rsidP="00C21F49">
            <w:pPr>
              <w:spacing w:after="0" w:line="240" w:lineRule="auto"/>
              <w:ind w:firstLineChars="100" w:firstLine="201"/>
              <w:jc w:val="right"/>
              <w:rPr>
                <w:rFonts w:ascii="Tahoma" w:eastAsia="Times New Roman" w:hAnsi="Tahoma" w:cs="Tahoma"/>
                <w:b/>
                <w:bCs/>
                <w:color w:val="7A0000"/>
                <w:sz w:val="20"/>
                <w:szCs w:val="20"/>
                <w:lang w:eastAsia="fr-FR"/>
              </w:rPr>
            </w:pPr>
          </w:p>
        </w:tc>
        <w:tc>
          <w:tcPr>
            <w:tcW w:w="1701" w:type="dxa"/>
            <w:tcBorders>
              <w:top w:val="nil"/>
              <w:left w:val="nil"/>
              <w:bottom w:val="nil"/>
              <w:right w:val="nil"/>
            </w:tcBorders>
            <w:shd w:val="clear" w:color="auto" w:fill="auto"/>
            <w:vAlign w:val="bottom"/>
            <w:hideMark/>
          </w:tcPr>
          <w:p w14:paraId="2E323EAD" w14:textId="77777777" w:rsidR="00B00ACA" w:rsidRPr="0022349C" w:rsidRDefault="00B00ACA" w:rsidP="00C21F49">
            <w:pPr>
              <w:spacing w:after="0" w:line="240" w:lineRule="auto"/>
              <w:ind w:firstLineChars="100" w:firstLine="200"/>
              <w:rPr>
                <w:rFonts w:ascii="Times New Roman" w:eastAsia="Times New Roman" w:hAnsi="Times New Roman" w:cs="Times New Roman"/>
                <w:sz w:val="20"/>
                <w:szCs w:val="20"/>
                <w:lang w:eastAsia="fr-FR"/>
              </w:rPr>
            </w:pPr>
          </w:p>
        </w:tc>
        <w:tc>
          <w:tcPr>
            <w:tcW w:w="1701" w:type="dxa"/>
            <w:tcBorders>
              <w:top w:val="nil"/>
              <w:left w:val="nil"/>
              <w:bottom w:val="nil"/>
              <w:right w:val="nil"/>
            </w:tcBorders>
            <w:shd w:val="clear" w:color="auto" w:fill="auto"/>
            <w:vAlign w:val="bottom"/>
            <w:hideMark/>
          </w:tcPr>
          <w:p w14:paraId="589B4485" w14:textId="77777777" w:rsidR="00B00ACA" w:rsidRPr="0022349C" w:rsidRDefault="00B00ACA" w:rsidP="00C21F49">
            <w:pPr>
              <w:spacing w:after="0" w:line="240" w:lineRule="auto"/>
              <w:ind w:firstLineChars="100" w:firstLine="200"/>
              <w:jc w:val="right"/>
              <w:rPr>
                <w:rFonts w:ascii="Times New Roman" w:eastAsia="Times New Roman" w:hAnsi="Times New Roman" w:cs="Times New Roman"/>
                <w:sz w:val="20"/>
                <w:szCs w:val="20"/>
                <w:lang w:eastAsia="fr-FR"/>
              </w:rPr>
            </w:pPr>
          </w:p>
        </w:tc>
      </w:tr>
      <w:tr w:rsidR="00B00ACA" w:rsidRPr="0022349C" w14:paraId="6D88B74A" w14:textId="77777777" w:rsidTr="00C21F49">
        <w:trPr>
          <w:trHeight w:val="290"/>
        </w:trPr>
        <w:tc>
          <w:tcPr>
            <w:tcW w:w="5529" w:type="dxa"/>
            <w:tcBorders>
              <w:top w:val="single" w:sz="4" w:space="0" w:color="7E8083"/>
              <w:left w:val="nil"/>
              <w:bottom w:val="single" w:sz="4" w:space="0" w:color="7E8083"/>
              <w:right w:val="nil"/>
            </w:tcBorders>
            <w:shd w:val="clear" w:color="auto" w:fill="auto"/>
            <w:vAlign w:val="center"/>
            <w:hideMark/>
          </w:tcPr>
          <w:p w14:paraId="42B69CFB"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Trésorerie</w:t>
            </w:r>
            <w:proofErr w:type="spellEnd"/>
            <w:r w:rsidRPr="0022349C">
              <w:rPr>
                <w:rFonts w:ascii="Tahoma" w:eastAsia="Times New Roman" w:hAnsi="Tahoma" w:cs="Tahoma"/>
                <w:color w:val="231F20"/>
                <w:sz w:val="20"/>
                <w:szCs w:val="20"/>
                <w:lang w:eastAsia="fr-FR"/>
              </w:rPr>
              <w:t xml:space="preserve"> </w:t>
            </w:r>
            <w:proofErr w:type="spellStart"/>
            <w:r w:rsidRPr="0022349C">
              <w:rPr>
                <w:rFonts w:ascii="Tahoma" w:eastAsia="Times New Roman" w:hAnsi="Tahoma" w:cs="Tahoma"/>
                <w:color w:val="231F20"/>
                <w:sz w:val="20"/>
                <w:szCs w:val="20"/>
                <w:lang w:eastAsia="fr-FR"/>
              </w:rPr>
              <w:t>d'ouverture</w:t>
            </w:r>
            <w:proofErr w:type="spellEnd"/>
          </w:p>
        </w:tc>
        <w:tc>
          <w:tcPr>
            <w:tcW w:w="1701" w:type="dxa"/>
            <w:tcBorders>
              <w:top w:val="single" w:sz="4" w:space="0" w:color="7E8083"/>
              <w:left w:val="nil"/>
              <w:bottom w:val="single" w:sz="4" w:space="0" w:color="7E8083"/>
              <w:right w:val="nil"/>
            </w:tcBorders>
            <w:shd w:val="clear" w:color="000000" w:fill="D7E1E1"/>
            <w:vAlign w:val="bottom"/>
            <w:hideMark/>
          </w:tcPr>
          <w:p w14:paraId="72B114EF"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36 707</w:t>
            </w:r>
          </w:p>
        </w:tc>
        <w:tc>
          <w:tcPr>
            <w:tcW w:w="1701" w:type="dxa"/>
            <w:tcBorders>
              <w:top w:val="single" w:sz="4" w:space="0" w:color="7E8083"/>
              <w:left w:val="nil"/>
              <w:bottom w:val="single" w:sz="4" w:space="0" w:color="7E8083"/>
              <w:right w:val="nil"/>
            </w:tcBorders>
            <w:shd w:val="clear" w:color="auto" w:fill="auto"/>
            <w:vAlign w:val="bottom"/>
            <w:hideMark/>
          </w:tcPr>
          <w:p w14:paraId="0E7D072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15 200</w:t>
            </w:r>
          </w:p>
        </w:tc>
      </w:tr>
      <w:tr w:rsidR="00B00ACA" w:rsidRPr="0022349C" w14:paraId="4C43B976" w14:textId="77777777" w:rsidTr="00C21F49">
        <w:trPr>
          <w:trHeight w:val="120"/>
        </w:trPr>
        <w:tc>
          <w:tcPr>
            <w:tcW w:w="5529" w:type="dxa"/>
            <w:tcBorders>
              <w:top w:val="nil"/>
              <w:left w:val="nil"/>
              <w:bottom w:val="nil"/>
              <w:right w:val="nil"/>
            </w:tcBorders>
            <w:shd w:val="clear" w:color="auto" w:fill="auto"/>
            <w:vAlign w:val="center"/>
            <w:hideMark/>
          </w:tcPr>
          <w:p w14:paraId="30EC7457"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p>
        </w:tc>
        <w:tc>
          <w:tcPr>
            <w:tcW w:w="1701" w:type="dxa"/>
            <w:tcBorders>
              <w:top w:val="nil"/>
              <w:left w:val="nil"/>
              <w:bottom w:val="nil"/>
              <w:right w:val="nil"/>
            </w:tcBorders>
            <w:shd w:val="clear" w:color="auto" w:fill="auto"/>
            <w:vAlign w:val="bottom"/>
            <w:hideMark/>
          </w:tcPr>
          <w:p w14:paraId="7A37FB27" w14:textId="77777777" w:rsidR="00B00ACA" w:rsidRPr="0022349C" w:rsidRDefault="00B00ACA" w:rsidP="00C21F49">
            <w:pPr>
              <w:spacing w:after="0" w:line="240" w:lineRule="auto"/>
              <w:ind w:firstLineChars="100" w:firstLine="200"/>
              <w:rPr>
                <w:rFonts w:ascii="Times New Roman" w:eastAsia="Times New Roman" w:hAnsi="Times New Roman" w:cs="Times New Roman"/>
                <w:sz w:val="20"/>
                <w:szCs w:val="20"/>
                <w:lang w:eastAsia="fr-FR"/>
              </w:rPr>
            </w:pPr>
          </w:p>
        </w:tc>
        <w:tc>
          <w:tcPr>
            <w:tcW w:w="1701" w:type="dxa"/>
            <w:tcBorders>
              <w:top w:val="nil"/>
              <w:left w:val="nil"/>
              <w:bottom w:val="nil"/>
              <w:right w:val="nil"/>
            </w:tcBorders>
            <w:shd w:val="clear" w:color="auto" w:fill="auto"/>
            <w:vAlign w:val="bottom"/>
            <w:hideMark/>
          </w:tcPr>
          <w:p w14:paraId="50AB074B" w14:textId="77777777" w:rsidR="00B00ACA" w:rsidRPr="0022349C" w:rsidRDefault="00B00ACA" w:rsidP="00C21F49">
            <w:pPr>
              <w:spacing w:after="0" w:line="240" w:lineRule="auto"/>
              <w:ind w:firstLineChars="100" w:firstLine="200"/>
              <w:jc w:val="right"/>
              <w:rPr>
                <w:rFonts w:ascii="Times New Roman" w:eastAsia="Times New Roman" w:hAnsi="Times New Roman" w:cs="Times New Roman"/>
                <w:sz w:val="20"/>
                <w:szCs w:val="20"/>
                <w:lang w:eastAsia="fr-FR"/>
              </w:rPr>
            </w:pPr>
          </w:p>
        </w:tc>
      </w:tr>
      <w:tr w:rsidR="00B00ACA" w:rsidRPr="0022349C" w14:paraId="0B88F7CA" w14:textId="77777777" w:rsidTr="00C21F49">
        <w:trPr>
          <w:trHeight w:val="290"/>
        </w:trPr>
        <w:tc>
          <w:tcPr>
            <w:tcW w:w="5529" w:type="dxa"/>
            <w:tcBorders>
              <w:top w:val="single" w:sz="4" w:space="0" w:color="7E8083"/>
              <w:left w:val="nil"/>
              <w:bottom w:val="single" w:sz="4" w:space="0" w:color="7E8083"/>
              <w:right w:val="nil"/>
            </w:tcBorders>
            <w:shd w:val="clear" w:color="auto" w:fill="auto"/>
            <w:vAlign w:val="center"/>
            <w:hideMark/>
          </w:tcPr>
          <w:p w14:paraId="5D2ECF50"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Trésorerie</w:t>
            </w:r>
            <w:proofErr w:type="spellEnd"/>
            <w:r w:rsidRPr="0022349C">
              <w:rPr>
                <w:rFonts w:ascii="Tahoma" w:eastAsia="Times New Roman" w:hAnsi="Tahoma" w:cs="Tahoma"/>
                <w:color w:val="231F20"/>
                <w:sz w:val="20"/>
                <w:szCs w:val="20"/>
                <w:lang w:eastAsia="fr-FR"/>
              </w:rPr>
              <w:t xml:space="preserve"> de </w:t>
            </w:r>
            <w:proofErr w:type="spellStart"/>
            <w:r w:rsidRPr="0022349C">
              <w:rPr>
                <w:rFonts w:ascii="Tahoma" w:eastAsia="Times New Roman" w:hAnsi="Tahoma" w:cs="Tahoma"/>
                <w:color w:val="231F20"/>
                <w:sz w:val="20"/>
                <w:szCs w:val="20"/>
                <w:lang w:eastAsia="fr-FR"/>
              </w:rPr>
              <w:t>clôture</w:t>
            </w:r>
            <w:proofErr w:type="spellEnd"/>
          </w:p>
        </w:tc>
        <w:tc>
          <w:tcPr>
            <w:tcW w:w="1701" w:type="dxa"/>
            <w:tcBorders>
              <w:top w:val="single" w:sz="4" w:space="0" w:color="7E8083"/>
              <w:left w:val="nil"/>
              <w:bottom w:val="single" w:sz="4" w:space="0" w:color="7E8083"/>
              <w:right w:val="nil"/>
            </w:tcBorders>
            <w:shd w:val="clear" w:color="000000" w:fill="D7E1E1"/>
            <w:vAlign w:val="bottom"/>
            <w:hideMark/>
          </w:tcPr>
          <w:p w14:paraId="67D41C08"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35 766</w:t>
            </w:r>
          </w:p>
        </w:tc>
        <w:tc>
          <w:tcPr>
            <w:tcW w:w="1701" w:type="dxa"/>
            <w:tcBorders>
              <w:top w:val="single" w:sz="4" w:space="0" w:color="7E8083"/>
              <w:left w:val="nil"/>
              <w:bottom w:val="single" w:sz="4" w:space="0" w:color="7E8083"/>
              <w:right w:val="nil"/>
            </w:tcBorders>
            <w:shd w:val="clear" w:color="auto" w:fill="auto"/>
            <w:vAlign w:val="bottom"/>
            <w:hideMark/>
          </w:tcPr>
          <w:p w14:paraId="4F44554B"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24 855</w:t>
            </w:r>
          </w:p>
        </w:tc>
      </w:tr>
      <w:tr w:rsidR="00B00ACA" w:rsidRPr="0022349C" w14:paraId="2A34552F" w14:textId="77777777" w:rsidTr="00C21F49">
        <w:trPr>
          <w:trHeight w:val="120"/>
        </w:trPr>
        <w:tc>
          <w:tcPr>
            <w:tcW w:w="5529" w:type="dxa"/>
            <w:tcBorders>
              <w:top w:val="nil"/>
              <w:left w:val="nil"/>
              <w:bottom w:val="nil"/>
              <w:right w:val="nil"/>
            </w:tcBorders>
            <w:shd w:val="clear" w:color="auto" w:fill="auto"/>
            <w:vAlign w:val="center"/>
            <w:hideMark/>
          </w:tcPr>
          <w:p w14:paraId="2096B62F"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p>
        </w:tc>
        <w:tc>
          <w:tcPr>
            <w:tcW w:w="1701" w:type="dxa"/>
            <w:tcBorders>
              <w:top w:val="nil"/>
              <w:left w:val="nil"/>
              <w:bottom w:val="nil"/>
              <w:right w:val="nil"/>
            </w:tcBorders>
            <w:shd w:val="clear" w:color="auto" w:fill="auto"/>
            <w:vAlign w:val="bottom"/>
            <w:hideMark/>
          </w:tcPr>
          <w:p w14:paraId="50D7EC95" w14:textId="77777777" w:rsidR="00B00ACA" w:rsidRPr="0022349C" w:rsidRDefault="00B00ACA" w:rsidP="00C21F49">
            <w:pPr>
              <w:spacing w:after="0" w:line="240" w:lineRule="auto"/>
              <w:ind w:firstLineChars="100" w:firstLine="200"/>
              <w:rPr>
                <w:rFonts w:ascii="Times New Roman" w:eastAsia="Times New Roman" w:hAnsi="Times New Roman" w:cs="Times New Roman"/>
                <w:sz w:val="20"/>
                <w:szCs w:val="20"/>
                <w:lang w:eastAsia="fr-FR"/>
              </w:rPr>
            </w:pPr>
          </w:p>
        </w:tc>
        <w:tc>
          <w:tcPr>
            <w:tcW w:w="1701" w:type="dxa"/>
            <w:tcBorders>
              <w:top w:val="nil"/>
              <w:left w:val="nil"/>
              <w:bottom w:val="nil"/>
              <w:right w:val="nil"/>
            </w:tcBorders>
            <w:shd w:val="clear" w:color="auto" w:fill="auto"/>
            <w:vAlign w:val="bottom"/>
            <w:hideMark/>
          </w:tcPr>
          <w:p w14:paraId="069C0339" w14:textId="77777777" w:rsidR="00B00ACA" w:rsidRPr="0022349C" w:rsidRDefault="00B00ACA" w:rsidP="00C21F49">
            <w:pPr>
              <w:spacing w:after="0" w:line="240" w:lineRule="auto"/>
              <w:ind w:firstLineChars="100" w:firstLine="200"/>
              <w:jc w:val="right"/>
              <w:rPr>
                <w:rFonts w:ascii="Times New Roman" w:eastAsia="Times New Roman" w:hAnsi="Times New Roman" w:cs="Times New Roman"/>
                <w:sz w:val="20"/>
                <w:szCs w:val="20"/>
                <w:lang w:eastAsia="fr-FR"/>
              </w:rPr>
            </w:pPr>
          </w:p>
        </w:tc>
      </w:tr>
      <w:tr w:rsidR="00B00ACA" w:rsidRPr="0022349C" w14:paraId="48B3C312" w14:textId="77777777" w:rsidTr="00C21F49">
        <w:trPr>
          <w:trHeight w:val="290"/>
        </w:trPr>
        <w:tc>
          <w:tcPr>
            <w:tcW w:w="5529" w:type="dxa"/>
            <w:tcBorders>
              <w:top w:val="single" w:sz="4" w:space="0" w:color="7E8083"/>
              <w:left w:val="nil"/>
              <w:bottom w:val="single" w:sz="4" w:space="0" w:color="7E8083"/>
              <w:right w:val="nil"/>
            </w:tcBorders>
            <w:shd w:val="clear" w:color="auto" w:fill="auto"/>
            <w:vAlign w:val="center"/>
            <w:hideMark/>
          </w:tcPr>
          <w:p w14:paraId="34B4BDBF" w14:textId="77777777" w:rsidR="00B00ACA" w:rsidRPr="00B00ACA" w:rsidRDefault="00B00ACA" w:rsidP="00C21F49">
            <w:pPr>
              <w:spacing w:after="0" w:line="240" w:lineRule="auto"/>
              <w:ind w:firstLineChars="100" w:firstLine="200"/>
              <w:rPr>
                <w:rFonts w:ascii="Tahoma" w:eastAsia="Times New Roman" w:hAnsi="Tahoma" w:cs="Tahoma"/>
                <w:color w:val="231F20"/>
                <w:sz w:val="20"/>
                <w:szCs w:val="20"/>
                <w:lang w:val="fr-FR" w:eastAsia="fr-FR"/>
              </w:rPr>
            </w:pPr>
            <w:r w:rsidRPr="00B00ACA">
              <w:rPr>
                <w:rFonts w:ascii="Tahoma" w:eastAsia="Times New Roman" w:hAnsi="Tahoma" w:cs="Tahoma"/>
                <w:color w:val="231F20"/>
                <w:sz w:val="20"/>
                <w:szCs w:val="20"/>
                <w:lang w:val="fr-FR" w:eastAsia="fr-FR"/>
              </w:rPr>
              <w:t>Trésorerie et équivalents de trésorerie</w:t>
            </w:r>
          </w:p>
        </w:tc>
        <w:tc>
          <w:tcPr>
            <w:tcW w:w="1701" w:type="dxa"/>
            <w:tcBorders>
              <w:top w:val="single" w:sz="4" w:space="0" w:color="7E8083"/>
              <w:left w:val="nil"/>
              <w:bottom w:val="single" w:sz="4" w:space="0" w:color="7E8083"/>
              <w:right w:val="nil"/>
            </w:tcBorders>
            <w:shd w:val="clear" w:color="000000" w:fill="D7E1E1"/>
            <w:vAlign w:val="bottom"/>
            <w:hideMark/>
          </w:tcPr>
          <w:p w14:paraId="14E021C7"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35 766</w:t>
            </w:r>
          </w:p>
        </w:tc>
        <w:tc>
          <w:tcPr>
            <w:tcW w:w="1701" w:type="dxa"/>
            <w:tcBorders>
              <w:top w:val="single" w:sz="4" w:space="0" w:color="7E8083"/>
              <w:left w:val="nil"/>
              <w:bottom w:val="single" w:sz="4" w:space="0" w:color="7E8083"/>
              <w:right w:val="nil"/>
            </w:tcBorders>
            <w:shd w:val="clear" w:color="auto" w:fill="auto"/>
            <w:vAlign w:val="bottom"/>
            <w:hideMark/>
          </w:tcPr>
          <w:p w14:paraId="757C9D84"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27 308</w:t>
            </w:r>
          </w:p>
        </w:tc>
      </w:tr>
      <w:tr w:rsidR="00B00ACA" w:rsidRPr="0022349C" w14:paraId="72774F2F" w14:textId="77777777" w:rsidTr="00C21F49">
        <w:trPr>
          <w:trHeight w:val="290"/>
        </w:trPr>
        <w:tc>
          <w:tcPr>
            <w:tcW w:w="5529" w:type="dxa"/>
            <w:tcBorders>
              <w:top w:val="nil"/>
              <w:left w:val="nil"/>
              <w:bottom w:val="single" w:sz="4" w:space="0" w:color="7E8083"/>
              <w:right w:val="nil"/>
            </w:tcBorders>
            <w:shd w:val="clear" w:color="auto" w:fill="auto"/>
            <w:vAlign w:val="center"/>
            <w:hideMark/>
          </w:tcPr>
          <w:p w14:paraId="334F5598" w14:textId="77777777" w:rsidR="00B00ACA" w:rsidRPr="0022349C" w:rsidRDefault="00B00ACA" w:rsidP="00C21F49">
            <w:pPr>
              <w:spacing w:after="0" w:line="240" w:lineRule="auto"/>
              <w:ind w:firstLineChars="100" w:firstLine="200"/>
              <w:rPr>
                <w:rFonts w:ascii="Tahoma" w:eastAsia="Times New Roman" w:hAnsi="Tahoma" w:cs="Tahoma"/>
                <w:color w:val="231F20"/>
                <w:sz w:val="20"/>
                <w:szCs w:val="20"/>
                <w:lang w:eastAsia="fr-FR"/>
              </w:rPr>
            </w:pPr>
            <w:proofErr w:type="spellStart"/>
            <w:r w:rsidRPr="0022349C">
              <w:rPr>
                <w:rFonts w:ascii="Tahoma" w:eastAsia="Times New Roman" w:hAnsi="Tahoma" w:cs="Tahoma"/>
                <w:color w:val="231F20"/>
                <w:sz w:val="20"/>
                <w:szCs w:val="20"/>
                <w:lang w:eastAsia="fr-FR"/>
              </w:rPr>
              <w:t>Trésorerie</w:t>
            </w:r>
            <w:proofErr w:type="spellEnd"/>
            <w:r w:rsidRPr="0022349C">
              <w:rPr>
                <w:rFonts w:ascii="Tahoma" w:eastAsia="Times New Roman" w:hAnsi="Tahoma" w:cs="Tahoma"/>
                <w:color w:val="231F20"/>
                <w:sz w:val="20"/>
                <w:szCs w:val="20"/>
                <w:lang w:eastAsia="fr-FR"/>
              </w:rPr>
              <w:t xml:space="preserve"> passive</w:t>
            </w:r>
          </w:p>
        </w:tc>
        <w:tc>
          <w:tcPr>
            <w:tcW w:w="1701" w:type="dxa"/>
            <w:tcBorders>
              <w:top w:val="nil"/>
              <w:left w:val="nil"/>
              <w:bottom w:val="single" w:sz="4" w:space="0" w:color="7E8083"/>
              <w:right w:val="nil"/>
            </w:tcBorders>
            <w:shd w:val="clear" w:color="000000" w:fill="D7E1E1"/>
            <w:vAlign w:val="bottom"/>
            <w:hideMark/>
          </w:tcPr>
          <w:p w14:paraId="059369B6"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0</w:t>
            </w:r>
          </w:p>
        </w:tc>
        <w:tc>
          <w:tcPr>
            <w:tcW w:w="1701" w:type="dxa"/>
            <w:tcBorders>
              <w:top w:val="nil"/>
              <w:left w:val="nil"/>
              <w:bottom w:val="single" w:sz="4" w:space="0" w:color="7E8083"/>
              <w:right w:val="nil"/>
            </w:tcBorders>
            <w:shd w:val="clear" w:color="auto" w:fill="auto"/>
            <w:vAlign w:val="bottom"/>
            <w:hideMark/>
          </w:tcPr>
          <w:p w14:paraId="034B1528" w14:textId="77777777" w:rsidR="00B00ACA" w:rsidRPr="0022349C" w:rsidRDefault="00B00ACA" w:rsidP="00C21F49">
            <w:pPr>
              <w:spacing w:after="0" w:line="240" w:lineRule="auto"/>
              <w:ind w:firstLineChars="100" w:firstLine="200"/>
              <w:jc w:val="right"/>
              <w:rPr>
                <w:rFonts w:ascii="Tahoma" w:eastAsia="Times New Roman" w:hAnsi="Tahoma" w:cs="Tahoma"/>
                <w:color w:val="231F20"/>
                <w:sz w:val="20"/>
                <w:szCs w:val="20"/>
                <w:lang w:eastAsia="fr-FR"/>
              </w:rPr>
            </w:pPr>
            <w:r w:rsidRPr="0022349C">
              <w:rPr>
                <w:rFonts w:ascii="Tahoma" w:eastAsia="Times New Roman" w:hAnsi="Tahoma" w:cs="Tahoma"/>
                <w:color w:val="231F20"/>
                <w:sz w:val="20"/>
                <w:szCs w:val="20"/>
                <w:lang w:eastAsia="fr-FR"/>
              </w:rPr>
              <w:t>-2 453</w:t>
            </w:r>
          </w:p>
        </w:tc>
      </w:tr>
    </w:tbl>
    <w:p w14:paraId="40C4E879" w14:textId="77777777" w:rsidR="00B00ACA" w:rsidRPr="00B00ACA" w:rsidRDefault="00B00ACA" w:rsidP="00B00ACA">
      <w:pPr>
        <w:rPr>
          <w:lang w:eastAsia="fr-FR"/>
        </w:rPr>
      </w:pPr>
    </w:p>
    <w:sectPr w:rsidR="00B00ACA" w:rsidRPr="00B00ACA" w:rsidSect="00185EE2">
      <w:headerReference w:type="default" r:id="rId11"/>
      <w:footerReference w:type="default" r:id="rId12"/>
      <w:headerReference w:type="first" r:id="rId13"/>
      <w:footerReference w:type="first" r:id="rId14"/>
      <w:pgSz w:w="11906" w:h="16838"/>
      <w:pgMar w:top="2127" w:right="1983" w:bottom="1135"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C936" w14:textId="77777777" w:rsidR="00B613F1" w:rsidRDefault="00B613F1" w:rsidP="00D97D20">
      <w:pPr>
        <w:spacing w:after="0" w:line="240" w:lineRule="auto"/>
      </w:pPr>
      <w:r>
        <w:separator/>
      </w:r>
    </w:p>
  </w:endnote>
  <w:endnote w:type="continuationSeparator" w:id="0">
    <w:p w14:paraId="76D3B1F7" w14:textId="77777777" w:rsidR="00B613F1" w:rsidRDefault="00B613F1" w:rsidP="00D9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9C4E" w14:textId="71928DDB" w:rsidR="004D21FE" w:rsidRPr="004D21FE" w:rsidRDefault="00DD5663" w:rsidP="004D21FE">
    <w:pPr>
      <w:pStyle w:val="Pieddepage"/>
      <w:ind w:right="-1700"/>
      <w:jc w:val="right"/>
      <w:rPr>
        <w:color w:val="FFFFFF" w:themeColor="background1"/>
      </w:rPr>
    </w:pPr>
    <w:r>
      <w:rPr>
        <w:noProof/>
      </w:rPr>
      <mc:AlternateContent>
        <mc:Choice Requires="wps">
          <w:drawing>
            <wp:anchor distT="45720" distB="45720" distL="114300" distR="114300" simplePos="0" relativeHeight="251663360" behindDoc="1" locked="0" layoutInCell="1" allowOverlap="1" wp14:anchorId="1E58F64F" wp14:editId="289CC3B0">
              <wp:simplePos x="0" y="0"/>
              <wp:positionH relativeFrom="column">
                <wp:posOffset>903085</wp:posOffset>
              </wp:positionH>
              <wp:positionV relativeFrom="paragraph">
                <wp:posOffset>-42896</wp:posOffset>
              </wp:positionV>
              <wp:extent cx="4322618" cy="249381"/>
              <wp:effectExtent l="0" t="0" r="1905" b="0"/>
              <wp:wrapNone/>
              <wp:docPr id="2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618" cy="249381"/>
                      </a:xfrm>
                      <a:prstGeom prst="rect">
                        <a:avLst/>
                      </a:prstGeom>
                      <a:solidFill>
                        <a:srgbClr val="FFFFFF"/>
                      </a:solidFill>
                      <a:ln w="9525">
                        <a:noFill/>
                        <a:miter lim="800000"/>
                        <a:headEnd/>
                        <a:tailEnd/>
                      </a:ln>
                    </wps:spPr>
                    <wps:txbx>
                      <w:txbxContent>
                        <w:p w14:paraId="7A8C1F8A" w14:textId="27EB214C" w:rsidR="00DD5663" w:rsidRPr="00DD5663" w:rsidRDefault="00DD5663" w:rsidP="00DD5663">
                          <w:pPr>
                            <w:spacing w:after="0" w:line="240" w:lineRule="auto"/>
                            <w:jc w:val="center"/>
                            <w:rPr>
                              <w:rFonts w:eastAsia="Times New Roman" w:cstheme="minorHAnsi"/>
                              <w:color w:val="008F8F"/>
                              <w:sz w:val="16"/>
                              <w:szCs w:val="16"/>
                            </w:rPr>
                          </w:pPr>
                          <w:r>
                            <w:rPr>
                              <w:color w:val="008F8F"/>
                              <w:sz w:val="16"/>
                            </w:rPr>
                            <w:t>Reuters BATD.PA – Bloomberg BLC: FP – ISIN FR0000035370 – No. of shares 7,348,419</w:t>
                          </w:r>
                        </w:p>
                        <w:p w14:paraId="056B929D" w14:textId="4B76CEDF" w:rsidR="00DD5663" w:rsidRDefault="00DD56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8F64F" id="_x0000_t202" coordsize="21600,21600" o:spt="202" path="m,l,21600r21600,l21600,xe">
              <v:stroke joinstyle="miter"/>
              <v:path gradientshapeok="t" o:connecttype="rect"/>
            </v:shapetype>
            <v:shape id="_x0000_s1027" type="#_x0000_t202" style="position:absolute;left:0;text-align:left;margin-left:71.1pt;margin-top:-3.4pt;width:340.35pt;height:19.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" stroked="f">
              <v:textbox>
                <w:txbxContent>
                  <w:p w14:paraId="7A8C1F8A" w14:textId="27EB214C" w:rsidR="00DD5663" w:rsidRPr="00DD5663" w:rsidRDefault="00DD5663" w:rsidP="00DD5663">
                    <w:pPr>
                      <w:spacing w:after="0" w:line="240" w:lineRule="auto"/>
                      <w:jc w:val="center"/>
                      <w:rPr>
                        <w:color w:val="008F8F"/>
                        <w:sz w:val="16"/>
                        <w:szCs w:val="16"/>
                        <w:rFonts w:eastAsia="Times New Roman" w:cstheme="minorHAnsi"/>
                      </w:rPr>
                    </w:pPr>
                    <w:r>
                      <w:rPr>
                        <w:color w:val="008F8F"/>
                        <w:sz w:val="16"/>
                      </w:rPr>
                      <w:t xml:space="preserve">Reuters BATD.PA – Bloomberg BLC:</w:t>
                    </w:r>
                    <w:r>
                      <w:rPr>
                        <w:color w:val="008F8F"/>
                        <w:sz w:val="16"/>
                      </w:rPr>
                      <w:t xml:space="preserve"> </w:t>
                    </w:r>
                    <w:r>
                      <w:rPr>
                        <w:color w:val="008F8F"/>
                        <w:sz w:val="16"/>
                      </w:rPr>
                      <w:t xml:space="preserve">FP – ISIN FR0000035370 – No. of shares 7,348,419</w:t>
                    </w:r>
                  </w:p>
                  <w:p w14:paraId="056B929D" w14:textId="4B76CEDF" w:rsidR="00DD5663" w:rsidRDefault="00DD5663"/>
                </w:txbxContent>
              </v:textbox>
            </v:shape>
          </w:pict>
        </mc:Fallback>
      </mc:AlternateContent>
    </w:r>
    <w:sdt>
      <w:sdtPr>
        <w:id w:val="-1623534425"/>
        <w:docPartObj>
          <w:docPartGallery w:val="Page Numbers (Bottom of Page)"/>
          <w:docPartUnique/>
        </w:docPartObj>
      </w:sdtPr>
      <w:sdtEndPr>
        <w:rPr>
          <w:color w:val="FFFFFF" w:themeColor="background1"/>
        </w:rPr>
      </w:sdtEndPr>
      <w:sdtContent>
        <w:r w:rsidR="004D21FE" w:rsidRPr="004D21FE">
          <w:rPr>
            <w:color w:val="FFFFFF" w:themeColor="background1"/>
          </w:rPr>
          <w:fldChar w:fldCharType="begin"/>
        </w:r>
        <w:r w:rsidR="004D21FE" w:rsidRPr="004D21FE">
          <w:rPr>
            <w:color w:val="FFFFFF" w:themeColor="background1"/>
          </w:rPr>
          <w:instrText>PAGE   \* MERGEFORMAT</w:instrText>
        </w:r>
        <w:r w:rsidR="004D21FE" w:rsidRPr="004D21FE">
          <w:rPr>
            <w:color w:val="FFFFFF" w:themeColor="background1"/>
          </w:rPr>
          <w:fldChar w:fldCharType="separate"/>
        </w:r>
        <w:r w:rsidR="004D21FE" w:rsidRPr="004D21FE">
          <w:rPr>
            <w:color w:val="FFFFFF" w:themeColor="background1"/>
          </w:rPr>
          <w:t>2</w:t>
        </w:r>
        <w:r w:rsidR="004D21FE" w:rsidRPr="004D21FE">
          <w:rPr>
            <w:color w:val="FFFFFF" w:themeColor="background1"/>
          </w:rPr>
          <w:fldChar w:fldCharType="end"/>
        </w:r>
      </w:sdtContent>
    </w:sdt>
  </w:p>
  <w:p w14:paraId="32AF0138" w14:textId="77777777" w:rsidR="004D21FE" w:rsidRDefault="004D21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6426" w14:textId="495EE14A" w:rsidR="00676D23" w:rsidRPr="00BD2D52" w:rsidRDefault="00676D23" w:rsidP="00676D23">
    <w:pPr>
      <w:spacing w:after="0" w:line="240" w:lineRule="auto"/>
      <w:jc w:val="both"/>
      <w:rPr>
        <w:rFonts w:cstheme="minorHAnsi"/>
        <w:b/>
        <w:bCs/>
        <w:sz w:val="16"/>
        <w:szCs w:val="16"/>
      </w:rPr>
    </w:pPr>
  </w:p>
  <w:p w14:paraId="76BCA868" w14:textId="77777777" w:rsidR="00676D23" w:rsidRDefault="00676D23">
    <w:pPr>
      <w:pStyle w:val="Pieddepage"/>
    </w:pPr>
  </w:p>
  <w:p w14:paraId="36A77010" w14:textId="70FA9DD7" w:rsidR="004D21FE" w:rsidRDefault="004D21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6B57" w14:textId="77777777" w:rsidR="00B613F1" w:rsidRDefault="00B613F1" w:rsidP="00D97D20">
      <w:pPr>
        <w:spacing w:after="0" w:line="240" w:lineRule="auto"/>
      </w:pPr>
      <w:r>
        <w:separator/>
      </w:r>
    </w:p>
  </w:footnote>
  <w:footnote w:type="continuationSeparator" w:id="0">
    <w:p w14:paraId="01E9549E" w14:textId="77777777" w:rsidR="00B613F1" w:rsidRDefault="00B613F1" w:rsidP="00D97D20">
      <w:pPr>
        <w:spacing w:after="0" w:line="240" w:lineRule="auto"/>
      </w:pPr>
      <w:r>
        <w:continuationSeparator/>
      </w:r>
    </w:p>
  </w:footnote>
  <w:footnote w:id="1">
    <w:p w14:paraId="7D0C7226" w14:textId="77777777" w:rsidR="00841D1E" w:rsidRPr="00841D1E" w:rsidRDefault="00841D1E" w:rsidP="00841D1E">
      <w:pPr>
        <w:pStyle w:val="Notedebasdepage"/>
      </w:pPr>
      <w:r>
        <w:rPr>
          <w:rStyle w:val="Appelnotedebasdep"/>
        </w:rPr>
        <w:footnoteRef/>
      </w:r>
      <w:r>
        <w:rPr>
          <w:i/>
          <w:sz w:val="16"/>
        </w:rPr>
        <w:t xml:space="preserve"> Organic growth calculated at constant exchange rates and on a like-for-like basis, with 2023-2024 figures restated for the contribution of companies acquired within the last 12 months and 2022-2023 figures restated for the contribution of assets sold within the last 12 months.</w:t>
      </w:r>
    </w:p>
  </w:footnote>
  <w:footnote w:id="2">
    <w:p w14:paraId="52ABC749" w14:textId="77777777" w:rsidR="007A25F0" w:rsidRPr="007A25F0" w:rsidRDefault="007A25F0">
      <w:pPr>
        <w:pStyle w:val="Notedebasdepage"/>
      </w:pPr>
      <w:r w:rsidRPr="00B00ACA">
        <w:rPr>
          <w:rStyle w:val="Appelnotedebasdep"/>
        </w:rPr>
        <w:footnoteRef/>
      </w:r>
      <w:r w:rsidRPr="00B00ACA">
        <w:t xml:space="preserve"> Of which a negative €8 million in non-recurring items (discontinuation of factoring and late payment of receivables).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99B1" w14:textId="0E3A962E" w:rsidR="00D97D20" w:rsidRDefault="004D21FE">
    <w:pPr>
      <w:pStyle w:val="En-tte"/>
    </w:pPr>
    <w:r>
      <w:rPr>
        <w:noProof/>
      </w:rPr>
      <w:drawing>
        <wp:anchor distT="0" distB="0" distL="114300" distR="114300" simplePos="0" relativeHeight="251661312" behindDoc="1" locked="0" layoutInCell="1" allowOverlap="1" wp14:anchorId="29706EC1" wp14:editId="4219624B">
          <wp:simplePos x="0" y="0"/>
          <wp:positionH relativeFrom="column">
            <wp:posOffset>5558790</wp:posOffset>
          </wp:positionH>
          <wp:positionV relativeFrom="paragraph">
            <wp:posOffset>4538301</wp:posOffset>
          </wp:positionV>
          <wp:extent cx="1086954" cy="5821904"/>
          <wp:effectExtent l="0" t="0" r="0" b="0"/>
          <wp:wrapNone/>
          <wp:docPr id="202" name="Image 202" descr="Une image contenant salle de bain, intérieur, év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63" descr="Une image contenant salle de bain, intérieur, évier&#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86954" cy="582190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2E5C7AA" wp14:editId="652A7988">
          <wp:simplePos x="0" y="0"/>
          <wp:positionH relativeFrom="margin">
            <wp:posOffset>-893401</wp:posOffset>
          </wp:positionH>
          <wp:positionV relativeFrom="paragraph">
            <wp:posOffset>-468763</wp:posOffset>
          </wp:positionV>
          <wp:extent cx="1693501" cy="1122534"/>
          <wp:effectExtent l="0" t="0" r="2540" b="1905"/>
          <wp:wrapNone/>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706084" cy="1130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A13C" w14:textId="223A8E8F" w:rsidR="00D97D20" w:rsidRDefault="004D21FE">
    <w:pPr>
      <w:pStyle w:val="En-tte"/>
    </w:pPr>
    <w:r>
      <w:rPr>
        <w:noProof/>
      </w:rPr>
      <w:drawing>
        <wp:anchor distT="0" distB="0" distL="114300" distR="114300" simplePos="0" relativeHeight="251660288" behindDoc="1" locked="0" layoutInCell="1" allowOverlap="1" wp14:anchorId="26CCBF16" wp14:editId="343754BC">
          <wp:simplePos x="0" y="0"/>
          <wp:positionH relativeFrom="page">
            <wp:posOffset>6485255</wp:posOffset>
          </wp:positionH>
          <wp:positionV relativeFrom="paragraph">
            <wp:posOffset>4596721</wp:posOffset>
          </wp:positionV>
          <wp:extent cx="1075435" cy="5760209"/>
          <wp:effectExtent l="0" t="0" r="0" b="0"/>
          <wp:wrapNone/>
          <wp:docPr id="204" name="Image 204" descr="Une image contenant salle de bain, intérieur, évi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descr="Une image contenant salle de bain, intérieur, évier&#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75435" cy="576020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E1FA9A2" wp14:editId="1F121E6E">
          <wp:simplePos x="0" y="0"/>
          <wp:positionH relativeFrom="page">
            <wp:align>left</wp:align>
          </wp:positionH>
          <wp:positionV relativeFrom="paragraph">
            <wp:posOffset>-438967</wp:posOffset>
          </wp:positionV>
          <wp:extent cx="2683726" cy="1778797"/>
          <wp:effectExtent l="0" t="0" r="2540" b="0"/>
          <wp:wrapNone/>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2683726" cy="17787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F4B"/>
    <w:multiLevelType w:val="hybridMultilevel"/>
    <w:tmpl w:val="38986F12"/>
    <w:lvl w:ilvl="0" w:tplc="646CED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7F1829"/>
    <w:multiLevelType w:val="hybridMultilevel"/>
    <w:tmpl w:val="1696C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837B08"/>
    <w:multiLevelType w:val="hybridMultilevel"/>
    <w:tmpl w:val="748463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48471C"/>
    <w:multiLevelType w:val="hybridMultilevel"/>
    <w:tmpl w:val="FB267C9A"/>
    <w:lvl w:ilvl="0" w:tplc="040C0005">
      <w:start w:val="1"/>
      <w:numFmt w:val="bullet"/>
      <w:lvlText w:val=""/>
      <w:lvlJc w:val="left"/>
      <w:pPr>
        <w:ind w:left="450" w:hanging="360"/>
      </w:pPr>
      <w:rPr>
        <w:rFonts w:ascii="Wingdings" w:hAnsi="Wingdings"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num w:numId="1" w16cid:durableId="628511805">
    <w:abstractNumId w:val="1"/>
  </w:num>
  <w:num w:numId="2" w16cid:durableId="2000841048">
    <w:abstractNumId w:val="0"/>
  </w:num>
  <w:num w:numId="3" w16cid:durableId="911357686">
    <w:abstractNumId w:val="3"/>
  </w:num>
  <w:num w:numId="4" w16cid:durableId="1100680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96"/>
    <w:rsid w:val="000035CC"/>
    <w:rsid w:val="000118A1"/>
    <w:rsid w:val="00011E89"/>
    <w:rsid w:val="0001672B"/>
    <w:rsid w:val="00016B8F"/>
    <w:rsid w:val="000213FE"/>
    <w:rsid w:val="00021E04"/>
    <w:rsid w:val="000232AA"/>
    <w:rsid w:val="00023566"/>
    <w:rsid w:val="00026FF0"/>
    <w:rsid w:val="000274EB"/>
    <w:rsid w:val="00033D3F"/>
    <w:rsid w:val="00033EBC"/>
    <w:rsid w:val="00035C1A"/>
    <w:rsid w:val="00040B4F"/>
    <w:rsid w:val="0005102A"/>
    <w:rsid w:val="000515B9"/>
    <w:rsid w:val="000551C8"/>
    <w:rsid w:val="00057E99"/>
    <w:rsid w:val="00061233"/>
    <w:rsid w:val="00063B62"/>
    <w:rsid w:val="000646D9"/>
    <w:rsid w:val="00067B37"/>
    <w:rsid w:val="000706AA"/>
    <w:rsid w:val="00074B7F"/>
    <w:rsid w:val="000759F6"/>
    <w:rsid w:val="00075D0C"/>
    <w:rsid w:val="0008041C"/>
    <w:rsid w:val="000808E0"/>
    <w:rsid w:val="00080CB8"/>
    <w:rsid w:val="000904F8"/>
    <w:rsid w:val="0009099C"/>
    <w:rsid w:val="00091E06"/>
    <w:rsid w:val="00092C36"/>
    <w:rsid w:val="00094B98"/>
    <w:rsid w:val="00095186"/>
    <w:rsid w:val="0009646D"/>
    <w:rsid w:val="000A0E10"/>
    <w:rsid w:val="000A3179"/>
    <w:rsid w:val="000A6368"/>
    <w:rsid w:val="000B57ED"/>
    <w:rsid w:val="000B5FEE"/>
    <w:rsid w:val="000C2AF6"/>
    <w:rsid w:val="000E725C"/>
    <w:rsid w:val="000F0716"/>
    <w:rsid w:val="001014C9"/>
    <w:rsid w:val="00102E1C"/>
    <w:rsid w:val="001051BD"/>
    <w:rsid w:val="00110AC1"/>
    <w:rsid w:val="001136E1"/>
    <w:rsid w:val="001179ED"/>
    <w:rsid w:val="00117C5A"/>
    <w:rsid w:val="00117E73"/>
    <w:rsid w:val="001222B1"/>
    <w:rsid w:val="00131730"/>
    <w:rsid w:val="00131AE3"/>
    <w:rsid w:val="00131B56"/>
    <w:rsid w:val="00156B4A"/>
    <w:rsid w:val="001613F3"/>
    <w:rsid w:val="001629CE"/>
    <w:rsid w:val="00164C2A"/>
    <w:rsid w:val="00165B7D"/>
    <w:rsid w:val="0017622A"/>
    <w:rsid w:val="00185EE2"/>
    <w:rsid w:val="001876EB"/>
    <w:rsid w:val="001972F1"/>
    <w:rsid w:val="001A47AF"/>
    <w:rsid w:val="001A695B"/>
    <w:rsid w:val="001B52DB"/>
    <w:rsid w:val="001B5FC9"/>
    <w:rsid w:val="001C0479"/>
    <w:rsid w:val="001C3D29"/>
    <w:rsid w:val="001C505B"/>
    <w:rsid w:val="001C51BB"/>
    <w:rsid w:val="001C7245"/>
    <w:rsid w:val="001C77E4"/>
    <w:rsid w:val="001D0C5B"/>
    <w:rsid w:val="001D4712"/>
    <w:rsid w:val="001D5AB2"/>
    <w:rsid w:val="001E33FA"/>
    <w:rsid w:val="001E3BBF"/>
    <w:rsid w:val="001F3204"/>
    <w:rsid w:val="001F3C25"/>
    <w:rsid w:val="001F51FC"/>
    <w:rsid w:val="002040B8"/>
    <w:rsid w:val="002041B6"/>
    <w:rsid w:val="00207DD1"/>
    <w:rsid w:val="00213772"/>
    <w:rsid w:val="002146D8"/>
    <w:rsid w:val="00214928"/>
    <w:rsid w:val="00224958"/>
    <w:rsid w:val="0023026C"/>
    <w:rsid w:val="00241D2E"/>
    <w:rsid w:val="00245AAF"/>
    <w:rsid w:val="00253414"/>
    <w:rsid w:val="00254323"/>
    <w:rsid w:val="002544BA"/>
    <w:rsid w:val="00257AF3"/>
    <w:rsid w:val="002609F3"/>
    <w:rsid w:val="00262E5C"/>
    <w:rsid w:val="00265EEA"/>
    <w:rsid w:val="00271E56"/>
    <w:rsid w:val="00273253"/>
    <w:rsid w:val="00274D23"/>
    <w:rsid w:val="002818EF"/>
    <w:rsid w:val="002836D2"/>
    <w:rsid w:val="0028586B"/>
    <w:rsid w:val="00285F45"/>
    <w:rsid w:val="00295085"/>
    <w:rsid w:val="002979FE"/>
    <w:rsid w:val="002A5DA8"/>
    <w:rsid w:val="002A68A7"/>
    <w:rsid w:val="002A7F27"/>
    <w:rsid w:val="002B061B"/>
    <w:rsid w:val="002B763B"/>
    <w:rsid w:val="002C1A43"/>
    <w:rsid w:val="002C213C"/>
    <w:rsid w:val="002C239B"/>
    <w:rsid w:val="002C23D1"/>
    <w:rsid w:val="002C34F7"/>
    <w:rsid w:val="002D00C0"/>
    <w:rsid w:val="002D17A6"/>
    <w:rsid w:val="002D39CA"/>
    <w:rsid w:val="002D7545"/>
    <w:rsid w:val="002E5E31"/>
    <w:rsid w:val="002F3AB3"/>
    <w:rsid w:val="002F48ED"/>
    <w:rsid w:val="00306F1B"/>
    <w:rsid w:val="00320CBF"/>
    <w:rsid w:val="00330062"/>
    <w:rsid w:val="00331653"/>
    <w:rsid w:val="0033275A"/>
    <w:rsid w:val="00332DFC"/>
    <w:rsid w:val="003340E5"/>
    <w:rsid w:val="00336E8D"/>
    <w:rsid w:val="0034511F"/>
    <w:rsid w:val="00353F36"/>
    <w:rsid w:val="003616A2"/>
    <w:rsid w:val="00362C9F"/>
    <w:rsid w:val="00372A3F"/>
    <w:rsid w:val="0037456B"/>
    <w:rsid w:val="0038023C"/>
    <w:rsid w:val="003819E9"/>
    <w:rsid w:val="00390E6C"/>
    <w:rsid w:val="00391000"/>
    <w:rsid w:val="003A3DF0"/>
    <w:rsid w:val="003A4B62"/>
    <w:rsid w:val="003B1F45"/>
    <w:rsid w:val="003B3324"/>
    <w:rsid w:val="003B3B49"/>
    <w:rsid w:val="003B6179"/>
    <w:rsid w:val="003D30FD"/>
    <w:rsid w:val="003D7EC4"/>
    <w:rsid w:val="003E03C5"/>
    <w:rsid w:val="003E03D9"/>
    <w:rsid w:val="003E1D10"/>
    <w:rsid w:val="003E4A79"/>
    <w:rsid w:val="003F578B"/>
    <w:rsid w:val="004011DC"/>
    <w:rsid w:val="00412BC8"/>
    <w:rsid w:val="00412F45"/>
    <w:rsid w:val="004178B2"/>
    <w:rsid w:val="00417BF1"/>
    <w:rsid w:val="00417F48"/>
    <w:rsid w:val="004205FA"/>
    <w:rsid w:val="00431A65"/>
    <w:rsid w:val="00432C82"/>
    <w:rsid w:val="00436A70"/>
    <w:rsid w:val="00437B1D"/>
    <w:rsid w:val="00446EC8"/>
    <w:rsid w:val="00455888"/>
    <w:rsid w:val="0047199E"/>
    <w:rsid w:val="0047701C"/>
    <w:rsid w:val="00484D2B"/>
    <w:rsid w:val="00486B18"/>
    <w:rsid w:val="0049020F"/>
    <w:rsid w:val="00492BA0"/>
    <w:rsid w:val="00494778"/>
    <w:rsid w:val="004A0966"/>
    <w:rsid w:val="004A1309"/>
    <w:rsid w:val="004A162B"/>
    <w:rsid w:val="004A1CA6"/>
    <w:rsid w:val="004A35DC"/>
    <w:rsid w:val="004A4723"/>
    <w:rsid w:val="004A570F"/>
    <w:rsid w:val="004C1AB6"/>
    <w:rsid w:val="004C2083"/>
    <w:rsid w:val="004C272F"/>
    <w:rsid w:val="004C778A"/>
    <w:rsid w:val="004C7BF1"/>
    <w:rsid w:val="004C7C22"/>
    <w:rsid w:val="004D21FE"/>
    <w:rsid w:val="004E23CC"/>
    <w:rsid w:val="004E5E44"/>
    <w:rsid w:val="004E7825"/>
    <w:rsid w:val="004F1FB2"/>
    <w:rsid w:val="004F20E8"/>
    <w:rsid w:val="0050309D"/>
    <w:rsid w:val="00527620"/>
    <w:rsid w:val="005376CE"/>
    <w:rsid w:val="00541285"/>
    <w:rsid w:val="005415FA"/>
    <w:rsid w:val="005465FD"/>
    <w:rsid w:val="00551DAD"/>
    <w:rsid w:val="00553AB4"/>
    <w:rsid w:val="00555EA0"/>
    <w:rsid w:val="00563BBC"/>
    <w:rsid w:val="00565D90"/>
    <w:rsid w:val="00572949"/>
    <w:rsid w:val="005734C1"/>
    <w:rsid w:val="005740B1"/>
    <w:rsid w:val="00580067"/>
    <w:rsid w:val="00585770"/>
    <w:rsid w:val="00586B70"/>
    <w:rsid w:val="00592422"/>
    <w:rsid w:val="00593773"/>
    <w:rsid w:val="005944D6"/>
    <w:rsid w:val="00597116"/>
    <w:rsid w:val="005B1020"/>
    <w:rsid w:val="005B1FEA"/>
    <w:rsid w:val="005B29FE"/>
    <w:rsid w:val="005B50C9"/>
    <w:rsid w:val="005B7335"/>
    <w:rsid w:val="005C24E2"/>
    <w:rsid w:val="005D3170"/>
    <w:rsid w:val="005D6585"/>
    <w:rsid w:val="005D68C8"/>
    <w:rsid w:val="005E1342"/>
    <w:rsid w:val="005E2C9B"/>
    <w:rsid w:val="005E7743"/>
    <w:rsid w:val="005F3161"/>
    <w:rsid w:val="005F43AC"/>
    <w:rsid w:val="005F5787"/>
    <w:rsid w:val="00602998"/>
    <w:rsid w:val="00605F7E"/>
    <w:rsid w:val="00607199"/>
    <w:rsid w:val="00610BF2"/>
    <w:rsid w:val="00610C1F"/>
    <w:rsid w:val="006126D4"/>
    <w:rsid w:val="0062068C"/>
    <w:rsid w:val="00620C24"/>
    <w:rsid w:val="00621EA0"/>
    <w:rsid w:val="00631DAE"/>
    <w:rsid w:val="00634578"/>
    <w:rsid w:val="00641AB6"/>
    <w:rsid w:val="00643EF8"/>
    <w:rsid w:val="00643F90"/>
    <w:rsid w:val="00645E95"/>
    <w:rsid w:val="006509F0"/>
    <w:rsid w:val="0065240F"/>
    <w:rsid w:val="00655430"/>
    <w:rsid w:val="00656043"/>
    <w:rsid w:val="00656EDC"/>
    <w:rsid w:val="00657640"/>
    <w:rsid w:val="00676D23"/>
    <w:rsid w:val="00677B29"/>
    <w:rsid w:val="006823E9"/>
    <w:rsid w:val="006829D0"/>
    <w:rsid w:val="006925A5"/>
    <w:rsid w:val="00696773"/>
    <w:rsid w:val="00696B1D"/>
    <w:rsid w:val="006A7194"/>
    <w:rsid w:val="006B0031"/>
    <w:rsid w:val="006B3C92"/>
    <w:rsid w:val="006B449F"/>
    <w:rsid w:val="006B466B"/>
    <w:rsid w:val="006B4856"/>
    <w:rsid w:val="006B635D"/>
    <w:rsid w:val="006B63D3"/>
    <w:rsid w:val="006C065A"/>
    <w:rsid w:val="006C44BF"/>
    <w:rsid w:val="006C48F1"/>
    <w:rsid w:val="006D02CC"/>
    <w:rsid w:val="006D1FF5"/>
    <w:rsid w:val="006D4E27"/>
    <w:rsid w:val="006D50D5"/>
    <w:rsid w:val="006D6A44"/>
    <w:rsid w:val="006E0079"/>
    <w:rsid w:val="006E235D"/>
    <w:rsid w:val="006E2826"/>
    <w:rsid w:val="006E4656"/>
    <w:rsid w:val="006E7F40"/>
    <w:rsid w:val="006F4EEA"/>
    <w:rsid w:val="00705AC4"/>
    <w:rsid w:val="00710B93"/>
    <w:rsid w:val="007115DB"/>
    <w:rsid w:val="0071391F"/>
    <w:rsid w:val="00714F24"/>
    <w:rsid w:val="0073726C"/>
    <w:rsid w:val="007511E4"/>
    <w:rsid w:val="0075741F"/>
    <w:rsid w:val="00760E0A"/>
    <w:rsid w:val="0076339F"/>
    <w:rsid w:val="0076733B"/>
    <w:rsid w:val="00776833"/>
    <w:rsid w:val="00787009"/>
    <w:rsid w:val="00792B5E"/>
    <w:rsid w:val="007943D4"/>
    <w:rsid w:val="007959AE"/>
    <w:rsid w:val="00795DFF"/>
    <w:rsid w:val="007A05FA"/>
    <w:rsid w:val="007A0729"/>
    <w:rsid w:val="007A1D9F"/>
    <w:rsid w:val="007A25F0"/>
    <w:rsid w:val="007A297D"/>
    <w:rsid w:val="007A5EB5"/>
    <w:rsid w:val="007A683B"/>
    <w:rsid w:val="007B00F2"/>
    <w:rsid w:val="007B2AFF"/>
    <w:rsid w:val="007B4613"/>
    <w:rsid w:val="007C1896"/>
    <w:rsid w:val="007C3DE8"/>
    <w:rsid w:val="007C425C"/>
    <w:rsid w:val="007D78DF"/>
    <w:rsid w:val="007E7D24"/>
    <w:rsid w:val="007F0FCD"/>
    <w:rsid w:val="007F3A16"/>
    <w:rsid w:val="007F3A54"/>
    <w:rsid w:val="007F3CDC"/>
    <w:rsid w:val="007F47EF"/>
    <w:rsid w:val="007F4A44"/>
    <w:rsid w:val="007F62D8"/>
    <w:rsid w:val="0080210B"/>
    <w:rsid w:val="00805307"/>
    <w:rsid w:val="008136AF"/>
    <w:rsid w:val="00814423"/>
    <w:rsid w:val="0081623D"/>
    <w:rsid w:val="0081718D"/>
    <w:rsid w:val="008224D1"/>
    <w:rsid w:val="00824A87"/>
    <w:rsid w:val="00827C80"/>
    <w:rsid w:val="00830632"/>
    <w:rsid w:val="00841D1E"/>
    <w:rsid w:val="0084447E"/>
    <w:rsid w:val="0084758D"/>
    <w:rsid w:val="00853066"/>
    <w:rsid w:val="008544E1"/>
    <w:rsid w:val="00854CD0"/>
    <w:rsid w:val="00857F63"/>
    <w:rsid w:val="00863A6A"/>
    <w:rsid w:val="008706A0"/>
    <w:rsid w:val="00874623"/>
    <w:rsid w:val="00874672"/>
    <w:rsid w:val="00874CC2"/>
    <w:rsid w:val="008977DC"/>
    <w:rsid w:val="00897D40"/>
    <w:rsid w:val="008A33FB"/>
    <w:rsid w:val="008A6F66"/>
    <w:rsid w:val="008A7179"/>
    <w:rsid w:val="008B3396"/>
    <w:rsid w:val="008B3DA3"/>
    <w:rsid w:val="008C3924"/>
    <w:rsid w:val="008C77CA"/>
    <w:rsid w:val="008C7E3A"/>
    <w:rsid w:val="008D5096"/>
    <w:rsid w:val="008D5415"/>
    <w:rsid w:val="008D734B"/>
    <w:rsid w:val="008D73B2"/>
    <w:rsid w:val="008E157C"/>
    <w:rsid w:val="008F16F7"/>
    <w:rsid w:val="008F40B6"/>
    <w:rsid w:val="008F6498"/>
    <w:rsid w:val="00910ABE"/>
    <w:rsid w:val="009145E5"/>
    <w:rsid w:val="0091540F"/>
    <w:rsid w:val="0092045D"/>
    <w:rsid w:val="00922630"/>
    <w:rsid w:val="009267D4"/>
    <w:rsid w:val="0093542F"/>
    <w:rsid w:val="00942B4D"/>
    <w:rsid w:val="00943F10"/>
    <w:rsid w:val="00946CAC"/>
    <w:rsid w:val="0094758D"/>
    <w:rsid w:val="009507EB"/>
    <w:rsid w:val="00951C12"/>
    <w:rsid w:val="00961200"/>
    <w:rsid w:val="00967347"/>
    <w:rsid w:val="00974417"/>
    <w:rsid w:val="00976199"/>
    <w:rsid w:val="00977F2E"/>
    <w:rsid w:val="00986B94"/>
    <w:rsid w:val="00987E3C"/>
    <w:rsid w:val="00991D3B"/>
    <w:rsid w:val="00994761"/>
    <w:rsid w:val="009948B0"/>
    <w:rsid w:val="009A0EB8"/>
    <w:rsid w:val="009B7552"/>
    <w:rsid w:val="009C07EF"/>
    <w:rsid w:val="009C7511"/>
    <w:rsid w:val="009D00DA"/>
    <w:rsid w:val="009D3B2C"/>
    <w:rsid w:val="009D4295"/>
    <w:rsid w:val="009D6EFC"/>
    <w:rsid w:val="009D7E57"/>
    <w:rsid w:val="009E25D2"/>
    <w:rsid w:val="009E42A6"/>
    <w:rsid w:val="009E644E"/>
    <w:rsid w:val="009F4C41"/>
    <w:rsid w:val="009F6447"/>
    <w:rsid w:val="00A02163"/>
    <w:rsid w:val="00A03CC3"/>
    <w:rsid w:val="00A06BE8"/>
    <w:rsid w:val="00A10756"/>
    <w:rsid w:val="00A1419F"/>
    <w:rsid w:val="00A159ED"/>
    <w:rsid w:val="00A20CC0"/>
    <w:rsid w:val="00A30836"/>
    <w:rsid w:val="00A4154D"/>
    <w:rsid w:val="00A44E41"/>
    <w:rsid w:val="00A532E8"/>
    <w:rsid w:val="00A53848"/>
    <w:rsid w:val="00A545EE"/>
    <w:rsid w:val="00A55F5E"/>
    <w:rsid w:val="00A637F7"/>
    <w:rsid w:val="00A71B60"/>
    <w:rsid w:val="00A742C0"/>
    <w:rsid w:val="00A74FD2"/>
    <w:rsid w:val="00A7759B"/>
    <w:rsid w:val="00A80969"/>
    <w:rsid w:val="00A81CED"/>
    <w:rsid w:val="00A81EBC"/>
    <w:rsid w:val="00A82D15"/>
    <w:rsid w:val="00A83662"/>
    <w:rsid w:val="00A87827"/>
    <w:rsid w:val="00A91855"/>
    <w:rsid w:val="00A97465"/>
    <w:rsid w:val="00AA0353"/>
    <w:rsid w:val="00AA46CD"/>
    <w:rsid w:val="00AB1F9B"/>
    <w:rsid w:val="00AB7FE8"/>
    <w:rsid w:val="00AC131D"/>
    <w:rsid w:val="00AC31B6"/>
    <w:rsid w:val="00AC5DFA"/>
    <w:rsid w:val="00AC5F69"/>
    <w:rsid w:val="00AD3715"/>
    <w:rsid w:val="00AD6213"/>
    <w:rsid w:val="00AD7AEA"/>
    <w:rsid w:val="00AE0D72"/>
    <w:rsid w:val="00AE6BE9"/>
    <w:rsid w:val="00AE71DE"/>
    <w:rsid w:val="00AF1CAA"/>
    <w:rsid w:val="00AF226A"/>
    <w:rsid w:val="00AF3B91"/>
    <w:rsid w:val="00AF52A2"/>
    <w:rsid w:val="00AF66EA"/>
    <w:rsid w:val="00AF7B34"/>
    <w:rsid w:val="00B00ACA"/>
    <w:rsid w:val="00B06304"/>
    <w:rsid w:val="00B06D3E"/>
    <w:rsid w:val="00B1323A"/>
    <w:rsid w:val="00B13AE2"/>
    <w:rsid w:val="00B16EC9"/>
    <w:rsid w:val="00B31F04"/>
    <w:rsid w:val="00B34E9D"/>
    <w:rsid w:val="00B35BF1"/>
    <w:rsid w:val="00B4313A"/>
    <w:rsid w:val="00B43FDB"/>
    <w:rsid w:val="00B46DC3"/>
    <w:rsid w:val="00B54EF8"/>
    <w:rsid w:val="00B56123"/>
    <w:rsid w:val="00B56E65"/>
    <w:rsid w:val="00B613F1"/>
    <w:rsid w:val="00B65DA0"/>
    <w:rsid w:val="00B65E5C"/>
    <w:rsid w:val="00B67E07"/>
    <w:rsid w:val="00B72EBE"/>
    <w:rsid w:val="00B77559"/>
    <w:rsid w:val="00B81CF7"/>
    <w:rsid w:val="00B82C46"/>
    <w:rsid w:val="00B83060"/>
    <w:rsid w:val="00B87B24"/>
    <w:rsid w:val="00B903CE"/>
    <w:rsid w:val="00BA10EA"/>
    <w:rsid w:val="00BA6411"/>
    <w:rsid w:val="00BA6D5C"/>
    <w:rsid w:val="00BA7811"/>
    <w:rsid w:val="00BB73D9"/>
    <w:rsid w:val="00BC4BAE"/>
    <w:rsid w:val="00BC6926"/>
    <w:rsid w:val="00BD18B6"/>
    <w:rsid w:val="00BD6B6E"/>
    <w:rsid w:val="00BE79B8"/>
    <w:rsid w:val="00BF1807"/>
    <w:rsid w:val="00BF6389"/>
    <w:rsid w:val="00C02807"/>
    <w:rsid w:val="00C0566C"/>
    <w:rsid w:val="00C06C26"/>
    <w:rsid w:val="00C16166"/>
    <w:rsid w:val="00C25009"/>
    <w:rsid w:val="00C309D3"/>
    <w:rsid w:val="00C35B70"/>
    <w:rsid w:val="00C3621D"/>
    <w:rsid w:val="00C44206"/>
    <w:rsid w:val="00C44741"/>
    <w:rsid w:val="00C4748A"/>
    <w:rsid w:val="00C52421"/>
    <w:rsid w:val="00C52D5A"/>
    <w:rsid w:val="00C533A1"/>
    <w:rsid w:val="00C53CE9"/>
    <w:rsid w:val="00C66CBF"/>
    <w:rsid w:val="00C7270B"/>
    <w:rsid w:val="00C7484D"/>
    <w:rsid w:val="00C822FB"/>
    <w:rsid w:val="00C82E26"/>
    <w:rsid w:val="00C84539"/>
    <w:rsid w:val="00C84E0E"/>
    <w:rsid w:val="00C85B2A"/>
    <w:rsid w:val="00C85DD7"/>
    <w:rsid w:val="00C86D26"/>
    <w:rsid w:val="00C86F44"/>
    <w:rsid w:val="00C9020D"/>
    <w:rsid w:val="00C937A6"/>
    <w:rsid w:val="00C938F2"/>
    <w:rsid w:val="00C93FEF"/>
    <w:rsid w:val="00C9498A"/>
    <w:rsid w:val="00C95CF5"/>
    <w:rsid w:val="00C9662B"/>
    <w:rsid w:val="00CA26FE"/>
    <w:rsid w:val="00CA341D"/>
    <w:rsid w:val="00CA3F2B"/>
    <w:rsid w:val="00CA6C84"/>
    <w:rsid w:val="00CB4188"/>
    <w:rsid w:val="00CB54CF"/>
    <w:rsid w:val="00CC2018"/>
    <w:rsid w:val="00CC502E"/>
    <w:rsid w:val="00CD1AF4"/>
    <w:rsid w:val="00CD23B4"/>
    <w:rsid w:val="00CD259B"/>
    <w:rsid w:val="00CE3FFD"/>
    <w:rsid w:val="00CF2AEC"/>
    <w:rsid w:val="00CF3E2F"/>
    <w:rsid w:val="00CF7B8D"/>
    <w:rsid w:val="00D04EA9"/>
    <w:rsid w:val="00D1025C"/>
    <w:rsid w:val="00D31728"/>
    <w:rsid w:val="00D33EC1"/>
    <w:rsid w:val="00D36965"/>
    <w:rsid w:val="00D37A0B"/>
    <w:rsid w:val="00D37E4E"/>
    <w:rsid w:val="00D37E52"/>
    <w:rsid w:val="00D61BED"/>
    <w:rsid w:val="00D64621"/>
    <w:rsid w:val="00D656EF"/>
    <w:rsid w:val="00D6766C"/>
    <w:rsid w:val="00D756B3"/>
    <w:rsid w:val="00D76171"/>
    <w:rsid w:val="00D7713F"/>
    <w:rsid w:val="00D95607"/>
    <w:rsid w:val="00D97D20"/>
    <w:rsid w:val="00DA1ADF"/>
    <w:rsid w:val="00DA2F5D"/>
    <w:rsid w:val="00DA3C58"/>
    <w:rsid w:val="00DA3E17"/>
    <w:rsid w:val="00DB61C2"/>
    <w:rsid w:val="00DD127F"/>
    <w:rsid w:val="00DD36EC"/>
    <w:rsid w:val="00DD39B1"/>
    <w:rsid w:val="00DD5663"/>
    <w:rsid w:val="00DD700C"/>
    <w:rsid w:val="00DE376A"/>
    <w:rsid w:val="00DE7022"/>
    <w:rsid w:val="00DF4A8C"/>
    <w:rsid w:val="00DF6763"/>
    <w:rsid w:val="00DF6F8E"/>
    <w:rsid w:val="00DF79DE"/>
    <w:rsid w:val="00E0014A"/>
    <w:rsid w:val="00E076F1"/>
    <w:rsid w:val="00E1096F"/>
    <w:rsid w:val="00E13ED8"/>
    <w:rsid w:val="00E176D6"/>
    <w:rsid w:val="00E23E03"/>
    <w:rsid w:val="00E2555B"/>
    <w:rsid w:val="00E30CBA"/>
    <w:rsid w:val="00E31588"/>
    <w:rsid w:val="00E32C2E"/>
    <w:rsid w:val="00E3300C"/>
    <w:rsid w:val="00E346D1"/>
    <w:rsid w:val="00E46448"/>
    <w:rsid w:val="00E47AF0"/>
    <w:rsid w:val="00E54A66"/>
    <w:rsid w:val="00E54CC7"/>
    <w:rsid w:val="00E54F9A"/>
    <w:rsid w:val="00E56872"/>
    <w:rsid w:val="00E57EAC"/>
    <w:rsid w:val="00E66249"/>
    <w:rsid w:val="00E70A2A"/>
    <w:rsid w:val="00E70D49"/>
    <w:rsid w:val="00E74491"/>
    <w:rsid w:val="00E751B0"/>
    <w:rsid w:val="00E81229"/>
    <w:rsid w:val="00E86F82"/>
    <w:rsid w:val="00E903B6"/>
    <w:rsid w:val="00E91BB0"/>
    <w:rsid w:val="00E91DC5"/>
    <w:rsid w:val="00E963AB"/>
    <w:rsid w:val="00EA606E"/>
    <w:rsid w:val="00EA66F8"/>
    <w:rsid w:val="00EB497D"/>
    <w:rsid w:val="00EC0334"/>
    <w:rsid w:val="00EC4A28"/>
    <w:rsid w:val="00ED3679"/>
    <w:rsid w:val="00EE1021"/>
    <w:rsid w:val="00EF03C0"/>
    <w:rsid w:val="00F00668"/>
    <w:rsid w:val="00F04FDB"/>
    <w:rsid w:val="00F17045"/>
    <w:rsid w:val="00F23539"/>
    <w:rsid w:val="00F24AFD"/>
    <w:rsid w:val="00F2677C"/>
    <w:rsid w:val="00F26F3D"/>
    <w:rsid w:val="00F30DC7"/>
    <w:rsid w:val="00F31F80"/>
    <w:rsid w:val="00F33814"/>
    <w:rsid w:val="00F35EFC"/>
    <w:rsid w:val="00F37EE7"/>
    <w:rsid w:val="00F40550"/>
    <w:rsid w:val="00F528F2"/>
    <w:rsid w:val="00F54CB4"/>
    <w:rsid w:val="00F573EC"/>
    <w:rsid w:val="00F65211"/>
    <w:rsid w:val="00F67DF5"/>
    <w:rsid w:val="00F70328"/>
    <w:rsid w:val="00F727F3"/>
    <w:rsid w:val="00F73EB5"/>
    <w:rsid w:val="00F8335E"/>
    <w:rsid w:val="00F83920"/>
    <w:rsid w:val="00F8508A"/>
    <w:rsid w:val="00F874ED"/>
    <w:rsid w:val="00F91178"/>
    <w:rsid w:val="00F95DCE"/>
    <w:rsid w:val="00F9653C"/>
    <w:rsid w:val="00FA6A37"/>
    <w:rsid w:val="00FB0B10"/>
    <w:rsid w:val="00FB62B4"/>
    <w:rsid w:val="00FB6A63"/>
    <w:rsid w:val="00FC16D3"/>
    <w:rsid w:val="00FC4173"/>
    <w:rsid w:val="00FC52D1"/>
    <w:rsid w:val="00FC7758"/>
    <w:rsid w:val="00FE17A1"/>
    <w:rsid w:val="00FE2A0A"/>
    <w:rsid w:val="00FE4079"/>
    <w:rsid w:val="00FF0DFF"/>
    <w:rsid w:val="00FF114F"/>
    <w:rsid w:val="00FF1ECB"/>
    <w:rsid w:val="00FF614F"/>
    <w:rsid w:val="49A0A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A1EF"/>
  <w15:docId w15:val="{30D6E058-9F2A-477B-B1C3-CC9CFD35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353"/>
  </w:style>
  <w:style w:type="paragraph" w:styleId="Titre1">
    <w:name w:val="heading 1"/>
    <w:basedOn w:val="Titre2"/>
    <w:next w:val="Normal"/>
    <w:link w:val="Titre1Car"/>
    <w:qFormat/>
    <w:rsid w:val="003E1D10"/>
    <w:pPr>
      <w:spacing w:line="259" w:lineRule="auto"/>
      <w:jc w:val="both"/>
      <w:outlineLvl w:val="0"/>
    </w:pPr>
    <w:rPr>
      <w:sz w:val="32"/>
    </w:rPr>
  </w:style>
  <w:style w:type="paragraph" w:styleId="Titre2">
    <w:name w:val="heading 2"/>
    <w:basedOn w:val="Normal"/>
    <w:next w:val="Normal"/>
    <w:link w:val="Titre2Car"/>
    <w:uiPriority w:val="9"/>
    <w:semiHidden/>
    <w:unhideWhenUsed/>
    <w:qFormat/>
    <w:rsid w:val="003E1D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874623"/>
    <w:rPr>
      <w:rFonts w:ascii="Times New Roman" w:hAnsi="Times New Roman" w:cs="Times New Roman"/>
      <w:color w:val="0000FF"/>
      <w:u w:val="single"/>
    </w:rPr>
  </w:style>
  <w:style w:type="paragraph" w:styleId="Textedebulles">
    <w:name w:val="Balloon Text"/>
    <w:basedOn w:val="Normal"/>
    <w:link w:val="TextedebullesCar"/>
    <w:uiPriority w:val="99"/>
    <w:semiHidden/>
    <w:unhideWhenUsed/>
    <w:rsid w:val="001D0C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0C5B"/>
    <w:rPr>
      <w:rFonts w:ascii="Segoe UI" w:hAnsi="Segoe UI" w:cs="Segoe UI"/>
      <w:sz w:val="18"/>
      <w:szCs w:val="18"/>
    </w:rPr>
  </w:style>
  <w:style w:type="paragraph" w:styleId="Paragraphedeliste">
    <w:name w:val="List Paragraph"/>
    <w:basedOn w:val="Normal"/>
    <w:uiPriority w:val="34"/>
    <w:qFormat/>
    <w:rsid w:val="00DF4A8C"/>
    <w:pPr>
      <w:ind w:left="720"/>
      <w:contextualSpacing/>
    </w:pPr>
  </w:style>
  <w:style w:type="paragraph" w:styleId="En-tte">
    <w:name w:val="header"/>
    <w:basedOn w:val="Normal"/>
    <w:link w:val="En-tteCar"/>
    <w:uiPriority w:val="99"/>
    <w:unhideWhenUsed/>
    <w:rsid w:val="00D97D20"/>
    <w:pPr>
      <w:tabs>
        <w:tab w:val="center" w:pos="4536"/>
        <w:tab w:val="right" w:pos="9072"/>
      </w:tabs>
      <w:spacing w:after="0" w:line="240" w:lineRule="auto"/>
    </w:pPr>
  </w:style>
  <w:style w:type="character" w:customStyle="1" w:styleId="En-tteCar">
    <w:name w:val="En-tête Car"/>
    <w:basedOn w:val="Policepardfaut"/>
    <w:link w:val="En-tte"/>
    <w:uiPriority w:val="99"/>
    <w:rsid w:val="00D97D20"/>
  </w:style>
  <w:style w:type="paragraph" w:styleId="Pieddepage">
    <w:name w:val="footer"/>
    <w:basedOn w:val="Normal"/>
    <w:link w:val="PieddepageCar"/>
    <w:uiPriority w:val="99"/>
    <w:unhideWhenUsed/>
    <w:rsid w:val="00D97D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D20"/>
  </w:style>
  <w:style w:type="table" w:styleId="Grilledutableau">
    <w:name w:val="Table Grid"/>
    <w:basedOn w:val="TableauNormal"/>
    <w:uiPriority w:val="59"/>
    <w:rsid w:val="0018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A570F"/>
    <w:pPr>
      <w:spacing w:after="0" w:line="240" w:lineRule="auto"/>
    </w:pPr>
  </w:style>
  <w:style w:type="character" w:styleId="Marquedecommentaire">
    <w:name w:val="annotation reference"/>
    <w:basedOn w:val="Policepardfaut"/>
    <w:uiPriority w:val="99"/>
    <w:semiHidden/>
    <w:unhideWhenUsed/>
    <w:rsid w:val="00063B62"/>
    <w:rPr>
      <w:sz w:val="16"/>
      <w:szCs w:val="16"/>
    </w:rPr>
  </w:style>
  <w:style w:type="paragraph" w:styleId="Commentaire">
    <w:name w:val="annotation text"/>
    <w:basedOn w:val="Normal"/>
    <w:link w:val="CommentaireCar"/>
    <w:uiPriority w:val="99"/>
    <w:unhideWhenUsed/>
    <w:rsid w:val="00063B62"/>
    <w:pPr>
      <w:spacing w:line="240" w:lineRule="auto"/>
    </w:pPr>
    <w:rPr>
      <w:sz w:val="20"/>
      <w:szCs w:val="20"/>
    </w:rPr>
  </w:style>
  <w:style w:type="character" w:customStyle="1" w:styleId="CommentaireCar">
    <w:name w:val="Commentaire Car"/>
    <w:basedOn w:val="Policepardfaut"/>
    <w:link w:val="Commentaire"/>
    <w:uiPriority w:val="99"/>
    <w:rsid w:val="00063B62"/>
    <w:rPr>
      <w:sz w:val="20"/>
      <w:szCs w:val="20"/>
    </w:rPr>
  </w:style>
  <w:style w:type="paragraph" w:styleId="Objetducommentaire">
    <w:name w:val="annotation subject"/>
    <w:basedOn w:val="Commentaire"/>
    <w:next w:val="Commentaire"/>
    <w:link w:val="ObjetducommentaireCar"/>
    <w:uiPriority w:val="99"/>
    <w:semiHidden/>
    <w:unhideWhenUsed/>
    <w:rsid w:val="00063B62"/>
    <w:rPr>
      <w:b/>
      <w:bCs/>
    </w:rPr>
  </w:style>
  <w:style w:type="character" w:customStyle="1" w:styleId="ObjetducommentaireCar">
    <w:name w:val="Objet du commentaire Car"/>
    <w:basedOn w:val="CommentaireCar"/>
    <w:link w:val="Objetducommentaire"/>
    <w:uiPriority w:val="99"/>
    <w:semiHidden/>
    <w:rsid w:val="00063B62"/>
    <w:rPr>
      <w:b/>
      <w:bCs/>
      <w:sz w:val="20"/>
      <w:szCs w:val="20"/>
    </w:rPr>
  </w:style>
  <w:style w:type="paragraph" w:styleId="NormalWeb">
    <w:name w:val="Normal (Web)"/>
    <w:basedOn w:val="Normal"/>
    <w:uiPriority w:val="99"/>
    <w:semiHidden/>
    <w:unhideWhenUsed/>
    <w:rsid w:val="00BA6D5C"/>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A974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7465"/>
    <w:rPr>
      <w:sz w:val="20"/>
      <w:szCs w:val="20"/>
    </w:rPr>
  </w:style>
  <w:style w:type="character" w:styleId="Appelnotedebasdep">
    <w:name w:val="footnote reference"/>
    <w:basedOn w:val="Policepardfaut"/>
    <w:uiPriority w:val="99"/>
    <w:semiHidden/>
    <w:unhideWhenUsed/>
    <w:rsid w:val="00A97465"/>
    <w:rPr>
      <w:vertAlign w:val="superscript"/>
    </w:rPr>
  </w:style>
  <w:style w:type="character" w:customStyle="1" w:styleId="Titre1Car">
    <w:name w:val="Titre 1 Car"/>
    <w:basedOn w:val="Policepardfaut"/>
    <w:link w:val="Titre1"/>
    <w:rsid w:val="003E1D10"/>
    <w:rPr>
      <w:rFonts w:asciiTheme="majorHAnsi" w:eastAsiaTheme="majorEastAsia" w:hAnsiTheme="majorHAnsi" w:cstheme="majorBidi"/>
      <w:color w:val="365F91" w:themeColor="accent1" w:themeShade="BF"/>
      <w:sz w:val="32"/>
      <w:szCs w:val="26"/>
      <w:lang w:val="en-US"/>
    </w:rPr>
  </w:style>
  <w:style w:type="character" w:customStyle="1" w:styleId="Titre2Car">
    <w:name w:val="Titre 2 Car"/>
    <w:basedOn w:val="Policepardfaut"/>
    <w:link w:val="Titre2"/>
    <w:uiPriority w:val="9"/>
    <w:semiHidden/>
    <w:rsid w:val="003E1D1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960583">
      <w:bodyDiv w:val="1"/>
      <w:marLeft w:val="0"/>
      <w:marRight w:val="0"/>
      <w:marTop w:val="0"/>
      <w:marBottom w:val="0"/>
      <w:divBdr>
        <w:top w:val="none" w:sz="0" w:space="0" w:color="auto"/>
        <w:left w:val="none" w:sz="0" w:space="0" w:color="auto"/>
        <w:bottom w:val="none" w:sz="0" w:space="0" w:color="auto"/>
        <w:right w:val="none" w:sz="0" w:space="0" w:color="auto"/>
      </w:divBdr>
    </w:div>
    <w:div w:id="1061902366">
      <w:bodyDiv w:val="1"/>
      <w:marLeft w:val="0"/>
      <w:marRight w:val="0"/>
      <w:marTop w:val="0"/>
      <w:marBottom w:val="0"/>
      <w:divBdr>
        <w:top w:val="none" w:sz="0" w:space="0" w:color="auto"/>
        <w:left w:val="none" w:sz="0" w:space="0" w:color="auto"/>
        <w:bottom w:val="none" w:sz="0" w:space="0" w:color="auto"/>
        <w:right w:val="none" w:sz="0" w:space="0" w:color="auto"/>
      </w:divBdr>
    </w:div>
    <w:div w:id="1553492604">
      <w:bodyDiv w:val="1"/>
      <w:marLeft w:val="0"/>
      <w:marRight w:val="0"/>
      <w:marTop w:val="0"/>
      <w:marBottom w:val="0"/>
      <w:divBdr>
        <w:top w:val="none" w:sz="0" w:space="0" w:color="auto"/>
        <w:left w:val="none" w:sz="0" w:space="0" w:color="auto"/>
        <w:bottom w:val="none" w:sz="0" w:space="0" w:color="auto"/>
        <w:right w:val="none" w:sz="0" w:space="0" w:color="auto"/>
      </w:divBdr>
      <w:divsChild>
        <w:div w:id="661079120">
          <w:marLeft w:val="0"/>
          <w:marRight w:val="0"/>
          <w:marTop w:val="0"/>
          <w:marBottom w:val="0"/>
          <w:divBdr>
            <w:top w:val="none" w:sz="0" w:space="0" w:color="auto"/>
            <w:left w:val="none" w:sz="0" w:space="0" w:color="auto"/>
            <w:bottom w:val="none" w:sz="0" w:space="0" w:color="auto"/>
            <w:right w:val="none" w:sz="0" w:space="0" w:color="auto"/>
          </w:divBdr>
        </w:div>
        <w:div w:id="93746647">
          <w:marLeft w:val="0"/>
          <w:marRight w:val="0"/>
          <w:marTop w:val="0"/>
          <w:marBottom w:val="0"/>
          <w:divBdr>
            <w:top w:val="none" w:sz="0" w:space="0" w:color="auto"/>
            <w:left w:val="none" w:sz="0" w:space="0" w:color="auto"/>
            <w:bottom w:val="none" w:sz="0" w:space="0" w:color="auto"/>
            <w:right w:val="none" w:sz="0" w:space="0" w:color="auto"/>
          </w:divBdr>
        </w:div>
      </w:divsChild>
    </w:div>
    <w:div w:id="1827210963">
      <w:bodyDiv w:val="1"/>
      <w:marLeft w:val="0"/>
      <w:marRight w:val="0"/>
      <w:marTop w:val="0"/>
      <w:marBottom w:val="0"/>
      <w:divBdr>
        <w:top w:val="none" w:sz="0" w:space="0" w:color="auto"/>
        <w:left w:val="none" w:sz="0" w:space="0" w:color="auto"/>
        <w:bottom w:val="none" w:sz="0" w:space="0" w:color="auto"/>
        <w:right w:val="none" w:sz="0" w:space="0" w:color="auto"/>
      </w:divBdr>
    </w:div>
    <w:div w:id="2086879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D89A3C35C1564E8999E4E64EB0A51F" ma:contentTypeVersion="7" ma:contentTypeDescription="Crée un document." ma:contentTypeScope="" ma:versionID="48f195ead9eb79bc55fb70188ab18d03">
  <xsd:schema xmlns:xsd="http://www.w3.org/2001/XMLSchema" xmlns:xs="http://www.w3.org/2001/XMLSchema" xmlns:p="http://schemas.microsoft.com/office/2006/metadata/properties" xmlns:ns3="2b66aba4-d9f2-4d01-bca8-4296bfb6991d" targetNamespace="http://schemas.microsoft.com/office/2006/metadata/properties" ma:root="true" ma:fieldsID="fecd6adeaf056fb73fb776c6658fd636" ns3:_="">
    <xsd:import namespace="2b66aba4-d9f2-4d01-bca8-4296bfb699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6aba4-d9f2-4d01-bca8-4296bfb69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27D48-0312-408A-B4D4-384CB7AC47D0}">
  <ds:schemaRefs>
    <ds:schemaRef ds:uri="http://schemas.openxmlformats.org/officeDocument/2006/bibliography"/>
  </ds:schemaRefs>
</ds:datastoreItem>
</file>

<file path=customXml/itemProps2.xml><?xml version="1.0" encoding="utf-8"?>
<ds:datastoreItem xmlns:ds="http://schemas.openxmlformats.org/officeDocument/2006/customXml" ds:itemID="{94727463-D77B-474C-ACB0-B4B2D242FE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5C138B-72E0-449A-BA0C-8E1D5636659E}">
  <ds:schemaRefs>
    <ds:schemaRef ds:uri="http://schemas.microsoft.com/sharepoint/v3/contenttype/forms"/>
  </ds:schemaRefs>
</ds:datastoreItem>
</file>

<file path=customXml/itemProps4.xml><?xml version="1.0" encoding="utf-8"?>
<ds:datastoreItem xmlns:ds="http://schemas.openxmlformats.org/officeDocument/2006/customXml" ds:itemID="{51476945-58F7-4871-A05D-29B5B0711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6aba4-d9f2-4d01-bca8-4296bfb69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2115</Words>
  <Characters>11634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ni</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glefloch</dc:creator>
  <cp:keywords/>
  <dc:description/>
  <cp:lastModifiedBy>Hélène DE WATTEVILLE</cp:lastModifiedBy>
  <cp:revision>8</cp:revision>
  <cp:lastPrinted>2024-03-20T17:04:00Z</cp:lastPrinted>
  <dcterms:created xsi:type="dcterms:W3CDTF">2024-03-20T15:20:00Z</dcterms:created>
  <dcterms:modified xsi:type="dcterms:W3CDTF">2024-03-20T17:22:00Z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0x0101005DD89A3C35C1564E8999E4E64EB0A51F</vt:lpwstr>
  </property>
</Properties>
</file>